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8A0AB" w14:textId="77777777" w:rsidR="00EC425E" w:rsidRPr="00EC425E" w:rsidRDefault="00EC425E" w:rsidP="00EC425E">
      <w:pPr>
        <w:numPr>
          <w:ilvl w:val="0"/>
          <w:numId w:val="1"/>
        </w:numPr>
        <w:spacing w:after="0" w:line="270" w:lineRule="atLeast"/>
        <w:ind w:left="0"/>
        <w:rPr>
          <w:rFonts w:ascii="inherit" w:eastAsia="Times New Roman" w:hAnsi="inherit" w:cs="Times New Roman"/>
          <w:color w:val="808080"/>
          <w:sz w:val="20"/>
          <w:szCs w:val="20"/>
        </w:rPr>
      </w:pPr>
      <w:hyperlink r:id="rId5" w:history="1">
        <w:r w:rsidRPr="00EC425E">
          <w:rPr>
            <w:rFonts w:ascii="inherit" w:eastAsia="Times New Roman" w:hAnsi="inherit" w:cs="Times New Roman"/>
            <w:color w:val="0069D6"/>
            <w:sz w:val="20"/>
            <w:szCs w:val="20"/>
            <w:u w:val="single"/>
            <w:bdr w:val="none" w:sz="0" w:space="0" w:color="auto" w:frame="1"/>
          </w:rPr>
          <w:t>My Bookshelf</w:t>
        </w:r>
      </w:hyperlink>
    </w:p>
    <w:p w14:paraId="3FE8B981" w14:textId="77777777" w:rsidR="00EC425E" w:rsidRPr="00EC425E" w:rsidRDefault="00EC425E" w:rsidP="00EC425E">
      <w:pPr>
        <w:numPr>
          <w:ilvl w:val="0"/>
          <w:numId w:val="1"/>
        </w:numPr>
        <w:spacing w:after="0" w:line="270" w:lineRule="atLeast"/>
        <w:ind w:left="0"/>
        <w:rPr>
          <w:rFonts w:ascii="inherit" w:eastAsia="Times New Roman" w:hAnsi="inherit" w:cs="Times New Roman"/>
          <w:color w:val="808080"/>
          <w:sz w:val="20"/>
          <w:szCs w:val="20"/>
        </w:rPr>
      </w:pPr>
      <w:hyperlink r:id="rId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5E216D97" w14:textId="77777777" w:rsidR="00EC425E" w:rsidRPr="00EC425E" w:rsidRDefault="00EC425E" w:rsidP="00EC425E">
      <w:pPr>
        <w:numPr>
          <w:ilvl w:val="0"/>
          <w:numId w:val="2"/>
        </w:numPr>
        <w:spacing w:after="0" w:line="270" w:lineRule="atLeast"/>
        <w:ind w:left="0"/>
        <w:rPr>
          <w:rFonts w:ascii="inherit" w:eastAsia="Times New Roman" w:hAnsi="inherit" w:cs="Times New Roman"/>
          <w:color w:val="808080"/>
          <w:sz w:val="20"/>
          <w:szCs w:val="20"/>
        </w:rPr>
      </w:pPr>
      <w:hyperlink r:id="rId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437630FE" w14:textId="77777777" w:rsidR="00EC425E" w:rsidRPr="00EC425E" w:rsidRDefault="00EC425E" w:rsidP="00EC425E">
      <w:pPr>
        <w:numPr>
          <w:ilvl w:val="0"/>
          <w:numId w:val="2"/>
        </w:numPr>
        <w:spacing w:after="0" w:line="270" w:lineRule="atLeast"/>
        <w:ind w:left="0"/>
        <w:rPr>
          <w:rFonts w:ascii="inherit" w:eastAsia="Times New Roman" w:hAnsi="inherit" w:cs="Times New Roman"/>
          <w:color w:val="808080"/>
          <w:sz w:val="20"/>
          <w:szCs w:val="20"/>
        </w:rPr>
      </w:pPr>
      <w:hyperlink r:id="rId8" w:history="1">
        <w:r w:rsidRPr="00EC425E">
          <w:rPr>
            <w:rFonts w:ascii="inherit" w:eastAsia="Times New Roman" w:hAnsi="inherit" w:cs="Times New Roman"/>
            <w:color w:val="0069D6"/>
            <w:sz w:val="20"/>
            <w:szCs w:val="20"/>
            <w:u w:val="single"/>
            <w:bdr w:val="none" w:sz="0" w:space="0" w:color="auto" w:frame="1"/>
          </w:rPr>
          <w:t>Print</w:t>
        </w:r>
      </w:hyperlink>
    </w:p>
    <w:p w14:paraId="284252C5" w14:textId="77777777" w:rsidR="00EC425E" w:rsidRPr="00EC425E" w:rsidRDefault="00EC425E" w:rsidP="00EC425E">
      <w:pPr>
        <w:numPr>
          <w:ilvl w:val="0"/>
          <w:numId w:val="2"/>
        </w:numPr>
        <w:spacing w:after="0" w:line="270" w:lineRule="atLeast"/>
        <w:ind w:left="0"/>
        <w:rPr>
          <w:rFonts w:ascii="inherit" w:eastAsia="Times New Roman" w:hAnsi="inherit" w:cs="Times New Roman"/>
          <w:color w:val="808080"/>
          <w:sz w:val="20"/>
          <w:szCs w:val="20"/>
        </w:rPr>
      </w:pPr>
      <w:hyperlink r:id="rId9" w:anchor="search" w:history="1">
        <w:r w:rsidRPr="00EC425E">
          <w:rPr>
            <w:rFonts w:ascii="inherit" w:eastAsia="Times New Roman" w:hAnsi="inherit" w:cs="Times New Roman"/>
            <w:color w:val="0069D6"/>
            <w:sz w:val="20"/>
            <w:szCs w:val="20"/>
            <w:u w:val="single"/>
            <w:bdr w:val="none" w:sz="0" w:space="0" w:color="auto" w:frame="1"/>
          </w:rPr>
          <w:t>Search</w:t>
        </w:r>
      </w:hyperlink>
    </w:p>
    <w:p w14:paraId="136E28E2" w14:textId="77777777" w:rsidR="00EC425E" w:rsidRPr="00EC425E" w:rsidRDefault="00EC425E" w:rsidP="00EC425E">
      <w:pPr>
        <w:numPr>
          <w:ilvl w:val="0"/>
          <w:numId w:val="2"/>
        </w:numPr>
        <w:spacing w:after="0" w:line="270" w:lineRule="atLeast"/>
        <w:ind w:left="75"/>
        <w:rPr>
          <w:rFonts w:ascii="inherit" w:eastAsia="Times New Roman" w:hAnsi="inherit" w:cs="Times New Roman"/>
          <w:color w:val="808080"/>
          <w:sz w:val="20"/>
          <w:szCs w:val="20"/>
        </w:rPr>
      </w:pPr>
      <w:hyperlink r:id="rId1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04232D5D" w14:textId="77777777" w:rsidR="00EC425E" w:rsidRPr="00EC425E" w:rsidRDefault="00EC425E" w:rsidP="00EC425E">
      <w:pPr>
        <w:numPr>
          <w:ilvl w:val="0"/>
          <w:numId w:val="2"/>
        </w:numPr>
        <w:spacing w:after="0" w:line="270" w:lineRule="atLeast"/>
        <w:ind w:left="30"/>
        <w:rPr>
          <w:rFonts w:ascii="inherit" w:eastAsia="Times New Roman" w:hAnsi="inherit" w:cs="Times New Roman"/>
          <w:color w:val="808080"/>
          <w:sz w:val="20"/>
          <w:szCs w:val="20"/>
        </w:rPr>
      </w:pPr>
      <w:hyperlink r:id="rId11" w:anchor="help" w:history="1">
        <w:r w:rsidRPr="00EC425E">
          <w:rPr>
            <w:rFonts w:ascii="inherit" w:eastAsia="Times New Roman" w:hAnsi="inherit" w:cs="Times New Roman"/>
            <w:color w:val="0069D6"/>
            <w:sz w:val="20"/>
            <w:szCs w:val="20"/>
            <w:u w:val="single"/>
            <w:bdr w:val="none" w:sz="0" w:space="0" w:color="auto" w:frame="1"/>
          </w:rPr>
          <w:t>Help</w:t>
        </w:r>
      </w:hyperlink>
    </w:p>
    <w:p w14:paraId="548FF24B"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CHAPTER TWO: The Family</w:t>
      </w:r>
    </w:p>
    <w:p w14:paraId="314F1937"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1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42871105"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1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52A4D5F1" w14:textId="77777777" w:rsidR="00EC425E" w:rsidRPr="00EC425E" w:rsidRDefault="00EC425E" w:rsidP="00EC425E">
      <w:pPr>
        <w:spacing w:before="75" w:after="300" w:line="270" w:lineRule="atLeast"/>
        <w:jc w:val="center"/>
        <w:rPr>
          <w:rFonts w:ascii="Cambria" w:eastAsia="Times New Roman" w:hAnsi="Cambria" w:cs="Times New Roman"/>
          <w:b/>
          <w:bCs/>
          <w:i/>
          <w:iCs/>
          <w:color w:val="000000"/>
          <w:sz w:val="42"/>
          <w:szCs w:val="42"/>
        </w:rPr>
      </w:pPr>
      <w:r w:rsidRPr="00EC425E">
        <w:rPr>
          <w:rFonts w:ascii="Cambria" w:eastAsia="Times New Roman" w:hAnsi="Cambria" w:cs="Times New Roman"/>
          <w:b/>
          <w:bCs/>
          <w:i/>
          <w:iCs/>
          <w:color w:val="000000"/>
          <w:sz w:val="42"/>
          <w:szCs w:val="42"/>
        </w:rPr>
        <w:t>CHAPTER TWO</w:t>
      </w:r>
    </w:p>
    <w:p w14:paraId="18B05253" w14:textId="77777777" w:rsidR="00EC425E" w:rsidRPr="00EC425E" w:rsidRDefault="00EC425E" w:rsidP="00EC425E">
      <w:pPr>
        <w:spacing w:before="75" w:after="720" w:line="270" w:lineRule="atLeast"/>
        <w:jc w:val="center"/>
        <w:rPr>
          <w:rFonts w:ascii="Cambria" w:eastAsia="Times New Roman" w:hAnsi="Cambria" w:cs="Times New Roman"/>
          <w:b/>
          <w:bCs/>
          <w:i/>
          <w:iCs/>
          <w:color w:val="000000"/>
          <w:sz w:val="42"/>
          <w:szCs w:val="42"/>
        </w:rPr>
      </w:pPr>
      <w:r w:rsidRPr="00EC425E">
        <w:rPr>
          <w:rFonts w:ascii="Cambria" w:eastAsia="Times New Roman" w:hAnsi="Cambria" w:cs="Times New Roman"/>
          <w:b/>
          <w:bCs/>
          <w:i/>
          <w:iCs/>
          <w:color w:val="000000"/>
          <w:sz w:val="42"/>
          <w:szCs w:val="42"/>
        </w:rPr>
        <w:t>The Family</w:t>
      </w:r>
    </w:p>
    <w:p w14:paraId="3F52F07A"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As anthropologists and historians have made clear, the structure, function, and even the definition of “the family” have varied tremendouslyfrom culture to culture, and for different social groups within each culture. In some places there is (or was) no exact equivalent for themodern English word “family”; the more important unit was instead the “household,” people who lived and often worked together, whether ornot they were related. In other places “family” included those nonrelated individuals, so that slaves or servants were considered part of thefamily. For some groups, the most important unit was the nuclear family of a man, a woman, and their children, while for others the extendedkin network was most important. In some groups, the family was primarily a unit of reproduction, while in others it was primarily a unit ofproduction. Some groups practiced polygamy and others monogamy. Among some groups, married couples lived with the husband’s family(patrilocality), in others they lived with the wife’s (matrilocality or uxorilocality), and in others they set up their own household (neolocality).Adoption or godparentage created significant kinship-like ties (termed fictive or spiritual kinship) in some places while in others only bloodand marriage mattered. Marital partners in some cultures were chosen by parents or the family as a whole and in others by the individualsthemselves. In some groups a woman brought goods or money to her husband or husband’s family on marriage (a dowry) and in others aman gave goods or money to his wife’s family (bridewealth). Marriage was forbidden to certain segments of the population among somegroups while among others nearly everyone married. In some groups divorce was easy and in others impossible. In some groups premaritalsexuality was acceptable or even expected and in others it was harshly punished. The oldest son inherited everything in some cultures(primogeniture) and in others all children or at least all sons shared in inheritance (partible inheritance). In some groups marriage was earlyand in others it was late. People in some places married within their group (endogamy) and in others outside of their group (exogamy). Insome groups spouses were about the same age while in others they were very different ages. Contraception, abortion, and even infanti</w:t>
      </w:r>
      <w:r w:rsidRPr="00EC425E">
        <w:rPr>
          <w:rFonts w:ascii="Cambria" w:eastAsia="Times New Roman" w:hAnsi="Cambria" w:cs="Times New Roman"/>
          <w:color w:val="000000"/>
          <w:sz w:val="24"/>
          <w:szCs w:val="24"/>
        </w:rPr>
        <w:lastRenderedPageBreak/>
        <w:t>cidewere acceptable practices for limiting the number of children in some cultures, while in others these were strictly prohibited. Death was arupture in family life among some groups, while in others deceased ancestors were part of the household, venerated and honored. All of thesevariables interacted, and often changed over time because of internal developments or contacts with other cultures.</w:t>
      </w:r>
    </w:p>
    <w:p w14:paraId="6BE0463E"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Despite all of this variety, there are certain generalizations we can make about the family in history. Though patterns and structuresdiffered tremendously, every group had ideas about the proper relations among spouses, parents and children, and other kin that werereinforced through law codes, religious prescriptions, taboos, education, or other means. Most individuals followed these expectations, whichis why we can make generalizations about issues such as those noted in the paragraph above. This tendency for people to follow certainpatterns means that family history can often be portrayed in charts and graphs of quantitative measures such as average age at marriage,average number and frequency of children, rates of remarriage for widows and widowers, inheritance patterns, rates of divorce, and so on.</w:t>
      </w:r>
    </w:p>
    <w:p w14:paraId="15F3B52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Quantitative sources make clear that the experience of family life was gendered. Age at first marriage was often very different for men andwomen, as was life expectancy, rate of remarriage after widowhood or divorce, and amount of inheritance; plural marriage (polygamy) wasmuch more likely to involve men with multiple wives (polygyny) than women with multiple husbands (polyandry); kin networks involvingthe father’s family (agnatic kin) were generally more important than those involving the mother’s (morganatic kin); inheritance may havebeen divided among children, but if one child inherited, it was almost always a son; in some cultures, such as the Bedouin of the Middle East,only the birth of a son created a true family that was counted separately. Nonquantitative sources about family life, including diaries, letters,and court records, also indicate that the experiences within the family group differed for boys and girls, men and women. Children learned(and continue to learn) what it means to be male or female first from the older people in their families, and their first experiences withgender differences were usually within the family. Gender also shaped the consequences of breaking with the accepted pattern of family life,consequences that might include social ostracism, outlawry, psychiatric counseling, imprisonment, or death.</w:t>
      </w:r>
    </w:p>
    <w:p w14:paraId="41788F86"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These gender differences within the family have been augmented by gender differences in other areas that will be explored later in thisbook, and all of these together have operated to link women’s experience more closely than men’s to family life in most cultures. Because ofthis, stories of men’s actions and accomplishments often neglect to mention even whether they were married or had children, while those ofwomen usually discuss their family situation; for example, few biographies of the French thinker Jean Jacques Rousseau mention that he hadseveral children out of wedlock and put them all up for adoption, while no biography of Queen Elizabeth I of England or the Americansuffragist Susan B. Anthony neglects to mention that they were unmarried and childless. Family structures and relationships, marital customsand patterns, norms and traditions of family life also had a tremendous impact on men, however, and ignoring these provides an incompletehistory. Because the family was the earliest form of social organization, and the first social organization children encount</w:t>
      </w:r>
      <w:r w:rsidRPr="00EC425E">
        <w:rPr>
          <w:rFonts w:ascii="Cambria" w:eastAsia="Times New Roman" w:hAnsi="Cambria" w:cs="Times New Roman"/>
          <w:color w:val="000000"/>
          <w:sz w:val="24"/>
          <w:szCs w:val="24"/>
        </w:rPr>
        <w:lastRenderedPageBreak/>
        <w:t>ered, the lessonslearned about gender within the family have been the most difficult for both sexes to change.</w:t>
      </w:r>
    </w:p>
    <w:p w14:paraId="4926EE08" w14:textId="77777777" w:rsidR="00EC425E" w:rsidRPr="00EC425E" w:rsidRDefault="00EC425E" w:rsidP="00EC425E">
      <w:pPr>
        <w:numPr>
          <w:ilvl w:val="0"/>
          <w:numId w:val="3"/>
        </w:numPr>
        <w:spacing w:after="0" w:line="270" w:lineRule="atLeast"/>
        <w:ind w:left="0"/>
        <w:rPr>
          <w:rFonts w:ascii="inherit" w:eastAsia="Times New Roman" w:hAnsi="inherit" w:cs="Times New Roman"/>
          <w:color w:val="808080"/>
          <w:sz w:val="20"/>
          <w:szCs w:val="20"/>
        </w:rPr>
      </w:pPr>
      <w:hyperlink r:id="rId14" w:history="1">
        <w:r w:rsidRPr="00EC425E">
          <w:rPr>
            <w:rFonts w:ascii="inherit" w:eastAsia="Times New Roman" w:hAnsi="inherit" w:cs="Times New Roman"/>
            <w:color w:val="0069D6"/>
            <w:sz w:val="20"/>
            <w:szCs w:val="20"/>
            <w:u w:val="single"/>
            <w:bdr w:val="none" w:sz="0" w:space="0" w:color="auto" w:frame="1"/>
          </w:rPr>
          <w:t>Notebook</w:t>
        </w:r>
      </w:hyperlink>
    </w:p>
    <w:p w14:paraId="6DB7FDD4" w14:textId="4691B1F7" w:rsidR="00EC425E" w:rsidRDefault="00EC425E" w:rsidP="00EC425E"/>
    <w:p w14:paraId="670C6FEC" w14:textId="77777777" w:rsidR="00EC425E" w:rsidRPr="00EC425E" w:rsidRDefault="00EC425E" w:rsidP="00EC425E">
      <w:pPr>
        <w:shd w:val="clear" w:color="auto" w:fill="FFFFFF"/>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2.1 Ancient Egypt and Mesopotamia (4000 BCE–600 BCE)</w:t>
      </w:r>
    </w:p>
    <w:p w14:paraId="632EA1A6"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discussion of explanations for the origins of patriarchy in chapter 1 notes some of the ways in which gender distinctions first emerged inprehistoric family life, before the development of writing. The earliest written law codes, such as that of the Babylonian king Hammurabi(1792-1750 bce), included many provisions regarding marriage and family life, setting out what the Babylonian elite regarded as the properrelationship between the sexes and the proper running of a household; according to its provisions, a husband could divorce his wife withoutreturning her dowry if she “made up her mind to leave in order that she may engage in business, thus neglecting her house and humiliatingher husband,” and could drown her if she “has been caught lying with another man.” (The code does not mention punishment for a marriedman who had sex with a woman not his wife.)</w:t>
      </w:r>
    </w:p>
    <w:p w14:paraId="0EFC533F"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both ancient Mesopotamia and ancient Egypt, marriage was generally monogamous, though men could and did have more than one wifeif their economic status was high enough, especially if their first wife had not had children. Rulers of Egypt in the New Kingdom (1570 bce-1075 ce) and rulers in Mesopotamia at roughly the same time are often described as having harems of many wives and concubines, thoughhistorians are not sure when this practice began or even if it was as extensive as later commentators thought; were the many women buriedin royal tombs the king’s concubines, or might they have been the queen’s servants? Whatever the situation for rulers and the very wealthy,most marriages were monogamous, with the prime emphasis on procreation and maintaining the economic and social well-being of thehousehold. Divorce was possible, but difficult.</w:t>
      </w:r>
    </w:p>
    <w:p w14:paraId="0112479F"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Marriage in the ancient world not only linked two individuals but also two families, so that the choice of a spouse was much too importanta matter to be left to young people to decide. Marriages were most often arranged by one’s parents, who assessed the possible marriagepartners and chose someone appropriate. Arranged marriage did not preclude the possibility of spousal affection and romantic love, however.Among the tax lists, funerary inscriptions and legal codes that are the most common records left from early civilizations, there is also someerotic love poetry. Though we have no way of knowing whether this was written as a prelude to marriage or to someone outside of marriage,we do know that husbands in New Kingdom Egypt often referred affectionately to their wives on their tomb inscriptions and that coupleswere portrayed arm in arm.</w:t>
      </w:r>
    </w:p>
    <w:p w14:paraId="355246ED"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Portrayal of spouses side by side may seem odd given the unequal status of men and women in marriage, but it also can serve as a visualdemonstration of two aspects of ancient m</w:t>
      </w:r>
      <w:r w:rsidRPr="00EC425E">
        <w:rPr>
          <w:rFonts w:ascii="Cambria" w:eastAsia="Times New Roman" w:hAnsi="Cambria" w:cs="Times New Roman"/>
          <w:color w:val="000000"/>
          <w:sz w:val="24"/>
          <w:szCs w:val="24"/>
        </w:rPr>
        <w:lastRenderedPageBreak/>
        <w:t>arriage. One is that in actual practice, women may have made more family decisions and controlledmore of what went on in the household than the laws would indicate. Laws always depict an ideal situation, one the lawmakers hope tocreate, rather than reality. We know from more recent societies in which women are far more restricted than they were in ancientMesopotamia that they actually oppose, subvert, and ignore restrictions in ways that reading the laws alone would never indicate werepossible. A second aspect of ancient marriage which these statutes hint at is the fact that though in some later societies of the Middle Eastconcern about women’s honor would mean their total seclusion, this was not true in ancient Mesopotamia or Egypt. Despite the preferencefor male heirs, high death rates often left women sole heirs, and the good of the family and preservation of the lineage required that they havesome legal rights. Thus though they were always a tiny minority of those appearing in legal records, women did control their own property tosome degree, act as independent legal persons bringing cases to court, serve as guarantors for the loans of others, and work in public.Husbands did not assume total control of their wives’ property in all cases – probably when the wife had come from a more prominent orwealthier family, and had powerful brothers or other male relatives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so that women independently bequeathed property to their sons andacted on their behalf. Women were most independent in Egypt; the Assyrians, on the other hand (one of the many empires that conqueredMesopotamia), required respectable women to wear a veil in public and forbade them to own property.</w:t>
      </w:r>
    </w:p>
    <w:p w14:paraId="3077B35D"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Because a woman’s identity was more closely tied to her husband’s than a man’s to his wife’s, a husband’s death often brought greatchanges in a woman’s situation. She became a widow, a word for which there is no male equivalent in many ancient languages and one of thefew words in English and other modern languages in which the male, widower, is derived from the female instead of the other way around. Atthat point she often become more active legally, buying and selling land, making loans, and making donations to religious establishments. Awidow’s actions were acceptable because she was often the guardian for her children and in control of the family finances, but she was alsosomewhat suspect because she was not under direct male control.</w:t>
      </w:r>
    </w:p>
    <w:p w14:paraId="6552D6DD" w14:textId="77777777" w:rsidR="00EC425E" w:rsidRPr="00EC425E" w:rsidRDefault="00EC425E" w:rsidP="00EC425E">
      <w:pPr>
        <w:numPr>
          <w:ilvl w:val="0"/>
          <w:numId w:val="4"/>
        </w:numPr>
        <w:spacing w:after="0" w:line="270" w:lineRule="atLeast"/>
        <w:ind w:left="0"/>
        <w:rPr>
          <w:rFonts w:ascii="inherit" w:eastAsia="Times New Roman" w:hAnsi="inherit" w:cs="Times New Roman"/>
          <w:color w:val="808080"/>
          <w:sz w:val="20"/>
          <w:szCs w:val="20"/>
        </w:rPr>
      </w:pPr>
      <w:hyperlink r:id="rId15" w:history="1">
        <w:r w:rsidRPr="00EC425E">
          <w:rPr>
            <w:rFonts w:ascii="inherit" w:eastAsia="Times New Roman" w:hAnsi="inherit" w:cs="Times New Roman"/>
            <w:color w:val="0069D6"/>
            <w:sz w:val="20"/>
            <w:szCs w:val="20"/>
            <w:u w:val="single"/>
            <w:bdr w:val="none" w:sz="0" w:space="0" w:color="auto" w:frame="1"/>
          </w:rPr>
          <w:t>My Bookshelf</w:t>
        </w:r>
      </w:hyperlink>
    </w:p>
    <w:p w14:paraId="3609BFB7" w14:textId="77777777" w:rsidR="00EC425E" w:rsidRPr="00EC425E" w:rsidRDefault="00EC425E" w:rsidP="00EC425E">
      <w:pPr>
        <w:numPr>
          <w:ilvl w:val="0"/>
          <w:numId w:val="4"/>
        </w:numPr>
        <w:spacing w:after="0" w:line="270" w:lineRule="atLeast"/>
        <w:ind w:left="0"/>
        <w:rPr>
          <w:rFonts w:ascii="inherit" w:eastAsia="Times New Roman" w:hAnsi="inherit" w:cs="Times New Roman"/>
          <w:color w:val="808080"/>
          <w:sz w:val="20"/>
          <w:szCs w:val="20"/>
        </w:rPr>
      </w:pPr>
      <w:hyperlink r:id="rId1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2F0CAABF" w14:textId="77777777" w:rsidR="00EC425E" w:rsidRPr="00EC425E" w:rsidRDefault="00EC425E" w:rsidP="00EC425E">
      <w:pPr>
        <w:numPr>
          <w:ilvl w:val="0"/>
          <w:numId w:val="5"/>
        </w:numPr>
        <w:spacing w:after="0" w:line="270" w:lineRule="atLeast"/>
        <w:ind w:left="0"/>
        <w:rPr>
          <w:rFonts w:ascii="inherit" w:eastAsia="Times New Roman" w:hAnsi="inherit" w:cs="Times New Roman"/>
          <w:color w:val="808080"/>
          <w:sz w:val="20"/>
          <w:szCs w:val="20"/>
        </w:rPr>
      </w:pPr>
      <w:hyperlink r:id="rId1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13FF1E02" w14:textId="77777777" w:rsidR="00EC425E" w:rsidRPr="00EC425E" w:rsidRDefault="00EC425E" w:rsidP="00EC425E">
      <w:pPr>
        <w:numPr>
          <w:ilvl w:val="0"/>
          <w:numId w:val="5"/>
        </w:numPr>
        <w:spacing w:after="0" w:line="270" w:lineRule="atLeast"/>
        <w:ind w:left="0"/>
        <w:rPr>
          <w:rFonts w:ascii="inherit" w:eastAsia="Times New Roman" w:hAnsi="inherit" w:cs="Times New Roman"/>
          <w:color w:val="808080"/>
          <w:sz w:val="20"/>
          <w:szCs w:val="20"/>
        </w:rPr>
      </w:pPr>
      <w:hyperlink r:id="rId18" w:history="1">
        <w:r w:rsidRPr="00EC425E">
          <w:rPr>
            <w:rFonts w:ascii="inherit" w:eastAsia="Times New Roman" w:hAnsi="inherit" w:cs="Times New Roman"/>
            <w:color w:val="0069D6"/>
            <w:sz w:val="20"/>
            <w:szCs w:val="20"/>
            <w:u w:val="single"/>
            <w:bdr w:val="none" w:sz="0" w:space="0" w:color="auto" w:frame="1"/>
          </w:rPr>
          <w:t>Print</w:t>
        </w:r>
      </w:hyperlink>
    </w:p>
    <w:p w14:paraId="3D2EE42E" w14:textId="77777777" w:rsidR="00EC425E" w:rsidRPr="00EC425E" w:rsidRDefault="00EC425E" w:rsidP="00EC425E">
      <w:pPr>
        <w:numPr>
          <w:ilvl w:val="0"/>
          <w:numId w:val="5"/>
        </w:numPr>
        <w:spacing w:after="0" w:line="270" w:lineRule="atLeast"/>
        <w:ind w:left="0"/>
        <w:rPr>
          <w:rFonts w:ascii="inherit" w:eastAsia="Times New Roman" w:hAnsi="inherit" w:cs="Times New Roman"/>
          <w:color w:val="808080"/>
          <w:sz w:val="20"/>
          <w:szCs w:val="20"/>
        </w:rPr>
      </w:pPr>
      <w:hyperlink r:id="rId19" w:anchor="search" w:history="1">
        <w:r w:rsidRPr="00EC425E">
          <w:rPr>
            <w:rFonts w:ascii="inherit" w:eastAsia="Times New Roman" w:hAnsi="inherit" w:cs="Times New Roman"/>
            <w:color w:val="0069D6"/>
            <w:sz w:val="20"/>
            <w:szCs w:val="20"/>
            <w:u w:val="single"/>
            <w:bdr w:val="none" w:sz="0" w:space="0" w:color="auto" w:frame="1"/>
          </w:rPr>
          <w:t>Search</w:t>
        </w:r>
      </w:hyperlink>
    </w:p>
    <w:p w14:paraId="4AF48E0E" w14:textId="77777777" w:rsidR="00EC425E" w:rsidRPr="00EC425E" w:rsidRDefault="00EC425E" w:rsidP="00EC425E">
      <w:pPr>
        <w:numPr>
          <w:ilvl w:val="0"/>
          <w:numId w:val="5"/>
        </w:numPr>
        <w:spacing w:after="0" w:line="270" w:lineRule="atLeast"/>
        <w:ind w:left="75"/>
        <w:rPr>
          <w:rFonts w:ascii="inherit" w:eastAsia="Times New Roman" w:hAnsi="inherit" w:cs="Times New Roman"/>
          <w:color w:val="808080"/>
          <w:sz w:val="20"/>
          <w:szCs w:val="20"/>
        </w:rPr>
      </w:pPr>
      <w:hyperlink r:id="rId2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22FA84A8" w14:textId="77777777" w:rsidR="00EC425E" w:rsidRPr="00EC425E" w:rsidRDefault="00EC425E" w:rsidP="00EC425E">
      <w:pPr>
        <w:numPr>
          <w:ilvl w:val="0"/>
          <w:numId w:val="5"/>
        </w:numPr>
        <w:spacing w:after="0" w:line="270" w:lineRule="atLeast"/>
        <w:ind w:left="30"/>
        <w:rPr>
          <w:rFonts w:ascii="inherit" w:eastAsia="Times New Roman" w:hAnsi="inherit" w:cs="Times New Roman"/>
          <w:color w:val="808080"/>
          <w:sz w:val="20"/>
          <w:szCs w:val="20"/>
        </w:rPr>
      </w:pPr>
      <w:hyperlink r:id="rId21" w:anchor="help" w:history="1">
        <w:r w:rsidRPr="00EC425E">
          <w:rPr>
            <w:rFonts w:ascii="inherit" w:eastAsia="Times New Roman" w:hAnsi="inherit" w:cs="Times New Roman"/>
            <w:color w:val="0069D6"/>
            <w:sz w:val="20"/>
            <w:szCs w:val="20"/>
            <w:u w:val="single"/>
            <w:bdr w:val="none" w:sz="0" w:space="0" w:color="auto" w:frame="1"/>
          </w:rPr>
          <w:t>Help</w:t>
        </w:r>
      </w:hyperlink>
    </w:p>
    <w:p w14:paraId="7FBFE523"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2.2 The Classical Cultures of China, Ind…</w:t>
      </w:r>
    </w:p>
    <w:p w14:paraId="7FC6742F"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2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7B6434AB"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2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4E457F3A" w14:textId="77777777" w:rsidR="00EC425E" w:rsidRPr="00EC425E" w:rsidRDefault="00EC425E" w:rsidP="00EC425E">
      <w:pPr>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2.2 The Classical Cultures of China, India, and the Mediterranean (600 BCE–500 CE)</w:t>
      </w:r>
    </w:p>
    <w:p w14:paraId="5B2EBEB1" w14:textId="77777777" w:rsidR="00EC425E" w:rsidRPr="00EC425E" w:rsidRDefault="00EC425E" w:rsidP="00EC425E">
      <w:pPr>
        <w:shd w:val="clear" w:color="auto" w:fill="FFFFFF"/>
        <w:spacing w:after="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lastRenderedPageBreak/>
        <w:t>Many of the gender patterns in family life that developed in the world’s earliest civilizations carried over into the classical cultures of Eurasia,though they were often made more rigid because of the expansion of written law codes and the development of religious and philosophicalsystems which posited clear gender distinctions. (These will be discussed in chapters 4 and 5.) The family was generally regarded as the basisof society, and rights to political positions were often limited to men who were the heads of families. As in Mesopotamia and Egypt, mostpeople married, though in some places certain marriages, such as those between slaves, between a slave and a free person, or betweenpersons of different social classes, were prohibited. In these cases other legal forms were often established to legitimate sexual relations, suchas concubinage or the Roman slave “marriage” called </w:t>
      </w:r>
      <w:r w:rsidRPr="00EC425E">
        <w:rPr>
          <w:rFonts w:ascii="inherit" w:eastAsia="Times New Roman" w:hAnsi="inherit" w:cs="Times New Roman"/>
          <w:i/>
          <w:iCs/>
          <w:color w:val="000000"/>
          <w:sz w:val="24"/>
          <w:szCs w:val="24"/>
          <w:bdr w:val="none" w:sz="0" w:space="0" w:color="auto" w:frame="1"/>
        </w:rPr>
        <w:t>contubernia</w:t>
      </w:r>
      <w:r w:rsidRPr="00EC425E">
        <w:rPr>
          <w:rFonts w:ascii="Cambria" w:eastAsia="Times New Roman" w:hAnsi="Cambria" w:cs="Times New Roman"/>
          <w:color w:val="000000"/>
          <w:sz w:val="24"/>
          <w:szCs w:val="24"/>
        </w:rPr>
        <w:t>. These forms were gender specific, for they never included one whichallowed a higher status woman to have legitimate sexual relations with a lower status man; such relations were instead often punishable bydeath. Size of the household was often dependent on social status, with wealthier households containing more relatives, servants, and slaves;in some areas extended families lived in a large family compound, while in others most households were nuclear. Whatever a household’s sizeor composition, everyone living within it, including adult children and servants, was under the authority of the male head of household. Whenhe died, his widow often came under the authority of her eldest son or her husband’s brother rather than acting independently. In somecultures she was expected to marry the brother of her dead husband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 practice called levirate marriage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particularly if her husband had nothad a son; her sons by her new husband were legally regarded as belonging to her deceased first husband.</w:t>
      </w:r>
    </w:p>
    <w:p w14:paraId="2B567859"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Weddings were central occasions in a family’s life, with spouses chosen carefully by parents, other family members, or marriage brokers,and much of a family’s resources often going to pay for the ceremony and setting up the new household. Marital agreements, especiallyamong the well-to-do, were stipulated with contracts between the families involved, a practice that continued for centuries throughout theworld, and in many areas continues today. Opportunities for divorce varied in the classical world, but in many cultures it was nearlyimpossible, so the choice of a spouse was undertaken very carefully after much consultation with relatives and often astrologers or othertypes of people who predicted the future. Weddings themselves were held on days determined to be lucky or auspicious, a determinationarrived at independently for each couple.</w:t>
      </w:r>
    </w:p>
    <w:p w14:paraId="2F53C553"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Rituals surrounding marriage became more complex in the classical period, particularly for the wealthy. In China during the Han dynasty(202 bce220 ce), for example, marriages included a number of prescribed steps, of which the most important was the presentation ofbetrothal gifts from the groom and the groom’s family to the bride and the bride’s family, an occasion of conspicuous consumption for the richand sometimes nearbankruptcy for the poor. The bride’s family then often countered with a dowry, sometimes of goods purchased with themoney in the betrothal gift; using a betrothal gift for family financial needs rather than reserving it for the bride was viewed as dishonorablebecause it made it appear that the bride had been sold. A marriage with no betrothal gift or dowry was also dishonorable, with the womanoften considered a concubine rather than a wife. Once all these goods had been exchanged, the bride was taken to the ancestral home of thegroom, where she was expected to obey her husband and his living relatives, and to honor his ancestors. Confucian teachi</w:t>
      </w:r>
      <w:r w:rsidRPr="00EC425E">
        <w:rPr>
          <w:rFonts w:ascii="Cambria" w:eastAsia="Times New Roman" w:hAnsi="Cambria" w:cs="Times New Roman"/>
          <w:color w:val="000000"/>
          <w:sz w:val="24"/>
          <w:szCs w:val="24"/>
        </w:rPr>
        <w:lastRenderedPageBreak/>
        <w:t>ngs required upper-class men to carry out specific rituals honoring their ancestors and clan throughout their lives, and to have sons so that these rituals couldcontinue. Their names were inscribed on the official family list, and women’s on the list of their marital families once they had a son; womenwho had no sons disappeared from family memory, unless they could arrange to adopt one, perhaps from a concubine or slave of theirhusband. Women continued to belong to their marital families even if they were widowed; if a widow’s birth family wanted her to marryagain, it often had to ransom her back from her deceased husband’s family, and her children by her first husband stayed with his family.</w:t>
      </w:r>
    </w:p>
    <w:p w14:paraId="3BC5D69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India, religious ideas about the importance of family life and many children meant that all men and women were expected to marry, andthat women in particular married very young; widows and women who had not had sons were excluded from wedding festivities. Parents,other relatives, or professional matchmakers chose one’s spouse, and anything that interfered with procreation, including exclusivelyhomosexual attachments, was frowned upon. The domestic fire had great symbolic importance; husband and wife made regular offerings infront of it. Children, particularly boys, were shown great affection and developed close attachments to their parents, especially their mothers.These mothers often continued to live in the house of their eldest son upon widowhood, creating stresses between mothers-in-law anddaughters-in-law; cruel and angry mothers-in-law were standard figures in the stories of classical India, reflecting what was often harshtreatment of young women in real life. (In the Mediterranean and the rest of Europe, widowed mothers generally did not live with theirmarried sons, so the spiteful old woman in stories is generally a stepmother rather than a mother-in-law.)</w:t>
      </w:r>
    </w:p>
    <w:p w14:paraId="2FC57B94"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the classical Mediterranean, family life was shaped more by practical and secular aims than it was in China or India, which ledoccasionally to marital practices and family forms that differed dramatically from the more common patriarchal and patrilocal. The mostdramatic example of this is the Greek city-state of Sparta, in which all activity was directed toward military ends. Citizen boys left their homesat 7 years old in Sparta and lived in military camps until they were 30, eating and training with boys and men their own age; they married atabout 18 to women of roughly the same age, but saw their wives only when they sneaked out of camp. Military discipline was harsh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this isthe origin of the word “spartan”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but severity was viewed as necessary to prepare men both to fight external enemies such as Athens and tocontrol the Spartan slave and unfree farmer population, which vastly outnumbered the citizens.</w:t>
      </w:r>
    </w:p>
    <w:p w14:paraId="46229CC1"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this militaristic atmosphere, citizen women were remarkably free. As in all classical cultures, there was an emphasis on childbearing, butthe Spartan leadership viewed maternal health as important for the bearing of healthy, strong children, and so encouraged women toparticipate in athletics and to eat well. With men in military service most of their lives, citizen women owned property and ran the household,and were not physically restricted or secluded. Marriage often began with a trial marriage period to make sure the couple could havechildren, with divorce and remarriage the normal course if they were unsuccessful. In contrast to India, despite the emphasis on procreation,homosexuality was widely accepted, with male same-</w:t>
      </w:r>
      <w:r w:rsidRPr="00EC425E">
        <w:rPr>
          <w:rFonts w:ascii="Cambria" w:eastAsia="Times New Roman" w:hAnsi="Cambria" w:cs="Times New Roman"/>
          <w:color w:val="000000"/>
          <w:sz w:val="24"/>
          <w:szCs w:val="24"/>
        </w:rPr>
        <w:lastRenderedPageBreak/>
        <w:t>sex relationships in particular viewed as militarily expedient, leading men to fight morefiercely in defense of their lovers and comrades.</w:t>
      </w:r>
    </w:p>
    <w:p w14:paraId="38E47699"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unusual gender structures of Sparta did not leave much of a legacy, however, for the dominant city-state in classical Greece culturally,politically, and intellectually was Athens, in which the lives of citizen women were more like those of women in China or India than like thoseof their neighbors in Sparta. Athenian democracy made a sharp distinction between citizen and noncitizen, with citizenship handed downfrom father to son, symbolized by a ceremony held on the tenth day after a child was born in which the father laid his son on the floor of thehouse and gave him a name; this ceremony marked a boy’s legal birth. It was thus very important to Athenian citizen men that their sons betheir own, so that women were increasingly secluded in special parts of the house and allowed out in public only for religious festivals,funerals, and perhaps the theater (there is a debate about this among historians). As in India, husbands were often a decade or more olderthan their wives, and clearly better educated, for the formal and informal institutions for learning that developed in Athens were for men only.Most men married, but being unmarried did not bar a man from political life, which was viewed as the center of human existence by manyAthenians. In contrast to most classical societies, Athenians regarded the individual man, rather than the family, as the basis of the socialorder, and the central relationship one between a younger man and an older man who trained him in cultural and political adulthood. (Suchrelationships will be discussed in more detail in chapter 8.)</w:t>
      </w:r>
    </w:p>
    <w:p w14:paraId="2FA6A74C"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Classical Rome had very different norms of family life than either Sparta or Athens. The word “family” (</w:t>
      </w:r>
      <w:r w:rsidRPr="00EC425E">
        <w:rPr>
          <w:rFonts w:ascii="inherit" w:eastAsia="Times New Roman" w:hAnsi="inherit" w:cs="Times New Roman"/>
          <w:i/>
          <w:iCs/>
          <w:color w:val="000000"/>
          <w:sz w:val="24"/>
          <w:szCs w:val="24"/>
          <w:bdr w:val="none" w:sz="0" w:space="0" w:color="auto" w:frame="1"/>
        </w:rPr>
        <w:t>famiglia</w:t>
      </w:r>
      <w:r w:rsidRPr="00EC425E">
        <w:rPr>
          <w:rFonts w:ascii="Cambria" w:eastAsia="Times New Roman" w:hAnsi="Cambria" w:cs="Times New Roman"/>
          <w:color w:val="000000"/>
          <w:sz w:val="24"/>
          <w:szCs w:val="24"/>
        </w:rPr>
        <w:t>) in ancient Rome actuallymeant all those under the authority of a male head of household, including nonrelated slaves and servants. Thus just as slave-owners heldpower over their slaves, fathers held great power over their children and husbands over their wives. Somewhat contradictorily, the Romansviewed the model marriage as one in which husbands and wives were loyal to one another and shared interests, activities, and property.These notions were often expressed on family tombstones, such as the following from the first century ce: “Pythion son of Hicesius set up thiscommon memorial to himself and to his wife Eicydilla daughter of Epicudes. He was married at 18 and she at 15 and for 50 years of lifetogether they shared agreement unbroken, happy among the living and blessed among the dead.” If the marriage was less than ideal, by thelate Republic (first century bce), divorce was possible at the instigation of either the husband or wife. Romans also idealized the role of themother, viewing women as important in their children’s education and thus worthy of an education themselves.</w:t>
      </w:r>
    </w:p>
    <w:p w14:paraId="276CCEAD"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all classical cultures, philosophical and religious ideals of family life had a much greater impact on elites than on ordinary people, asituation that continued into the postclassical period when elite women were increasingly secluded within their households in China, India,and much of the Islamic world. In both the classical and postclassical periods, and, indeed, in most of the world’s cultures in all periods, thevast majority of people were peasants who spent their days raising food. Almost all of them married, not because of Confucian principles orHindu teachings or Islamic injunctions, but because marital couples and their children were the basic unit of agricultural production;procreation was an economic necessity and not simply a religious duty. Some historians speculate that peasant women were less restri</w:t>
      </w:r>
      <w:r w:rsidRPr="00EC425E">
        <w:rPr>
          <w:rFonts w:ascii="Cambria" w:eastAsia="Times New Roman" w:hAnsi="Cambria" w:cs="Times New Roman"/>
          <w:color w:val="000000"/>
          <w:sz w:val="24"/>
          <w:szCs w:val="24"/>
        </w:rPr>
        <w:lastRenderedPageBreak/>
        <w:t>ctedthan upper-class women, or at least that their lives were more like those of the male members of their family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made equally miserable bypoverty and hard work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than was the case for wealthier women. Whether any woman would have regarded this as positive, and not tradedher life for the more comfortable, though more restricted, one of an aristocratic woman, is difficult to say, for we have almost no sources thatgive us the opinions of peasant women or men about their families until the nineteenth century.</w:t>
      </w:r>
    </w:p>
    <w:p w14:paraId="144181F1"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family patterns sketched here for classical cultures were thus class related, and certain small groups within the huge populations ofChina and India also followed very different models. Among the Khasi people in northwestern India and the Musuo in southwestern China, forexample, women headed the households, owned businesses, and handed down property and the family name to their daughters. Thesematrifocal practices have continued to today, although there is pressure to make these groups conform more closely with the rest of India andChina. The irony of this is not lost on Lakyntieth Lyndoh, a Khasi businesswoman, who commented in 1996: “Why should we be in such ahurry to give up our long-fought-for rights as independent women when most other women in the world are clamoring to increase theirs?”</w:t>
      </w:r>
    </w:p>
    <w:p w14:paraId="3022ABC8" w14:textId="77777777" w:rsidR="00EC425E" w:rsidRPr="00EC425E" w:rsidRDefault="00EC425E" w:rsidP="00EC425E">
      <w:pPr>
        <w:numPr>
          <w:ilvl w:val="0"/>
          <w:numId w:val="6"/>
        </w:numPr>
        <w:spacing w:after="0" w:line="270" w:lineRule="atLeast"/>
        <w:ind w:left="0"/>
        <w:rPr>
          <w:rFonts w:ascii="inherit" w:eastAsia="Times New Roman" w:hAnsi="inherit" w:cs="Times New Roman"/>
          <w:color w:val="808080"/>
          <w:sz w:val="20"/>
          <w:szCs w:val="20"/>
        </w:rPr>
      </w:pPr>
      <w:hyperlink r:id="rId24" w:history="1">
        <w:r w:rsidRPr="00EC425E">
          <w:rPr>
            <w:rFonts w:ascii="inherit" w:eastAsia="Times New Roman" w:hAnsi="inherit" w:cs="Times New Roman"/>
            <w:color w:val="0069D6"/>
            <w:sz w:val="20"/>
            <w:szCs w:val="20"/>
            <w:u w:val="single"/>
            <w:bdr w:val="none" w:sz="0" w:space="0" w:color="auto" w:frame="1"/>
          </w:rPr>
          <w:t>Notebook</w:t>
        </w:r>
      </w:hyperlink>
    </w:p>
    <w:p w14:paraId="4B01D33D" w14:textId="77777777" w:rsidR="00EC425E" w:rsidRPr="00EC425E" w:rsidRDefault="00EC425E" w:rsidP="00EC425E">
      <w:pPr>
        <w:numPr>
          <w:ilvl w:val="0"/>
          <w:numId w:val="7"/>
        </w:numPr>
        <w:spacing w:after="0" w:line="270" w:lineRule="atLeast"/>
        <w:ind w:left="0"/>
        <w:rPr>
          <w:rFonts w:ascii="inherit" w:eastAsia="Times New Roman" w:hAnsi="inherit" w:cs="Times New Roman"/>
          <w:color w:val="808080"/>
          <w:sz w:val="20"/>
          <w:szCs w:val="20"/>
        </w:rPr>
      </w:pPr>
      <w:hyperlink r:id="rId25" w:history="1">
        <w:r w:rsidRPr="00EC425E">
          <w:rPr>
            <w:rFonts w:ascii="inherit" w:eastAsia="Times New Roman" w:hAnsi="inherit" w:cs="Times New Roman"/>
            <w:color w:val="0069D6"/>
            <w:sz w:val="20"/>
            <w:szCs w:val="20"/>
            <w:u w:val="single"/>
            <w:bdr w:val="none" w:sz="0" w:space="0" w:color="auto" w:frame="1"/>
          </w:rPr>
          <w:t>My Bookshelf</w:t>
        </w:r>
      </w:hyperlink>
    </w:p>
    <w:p w14:paraId="2011A54D" w14:textId="77777777" w:rsidR="00EC425E" w:rsidRPr="00EC425E" w:rsidRDefault="00EC425E" w:rsidP="00EC425E">
      <w:pPr>
        <w:numPr>
          <w:ilvl w:val="0"/>
          <w:numId w:val="7"/>
        </w:numPr>
        <w:spacing w:after="0" w:line="270" w:lineRule="atLeast"/>
        <w:ind w:left="0"/>
        <w:rPr>
          <w:rFonts w:ascii="inherit" w:eastAsia="Times New Roman" w:hAnsi="inherit" w:cs="Times New Roman"/>
          <w:color w:val="808080"/>
          <w:sz w:val="20"/>
          <w:szCs w:val="20"/>
        </w:rPr>
      </w:pPr>
      <w:hyperlink r:id="rId2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5FFF4227" w14:textId="77777777" w:rsidR="00EC425E" w:rsidRPr="00EC425E" w:rsidRDefault="00EC425E" w:rsidP="00EC425E">
      <w:pPr>
        <w:numPr>
          <w:ilvl w:val="0"/>
          <w:numId w:val="8"/>
        </w:numPr>
        <w:spacing w:after="0" w:line="270" w:lineRule="atLeast"/>
        <w:ind w:left="0"/>
        <w:rPr>
          <w:rFonts w:ascii="inherit" w:eastAsia="Times New Roman" w:hAnsi="inherit" w:cs="Times New Roman"/>
          <w:color w:val="808080"/>
          <w:sz w:val="20"/>
          <w:szCs w:val="20"/>
        </w:rPr>
      </w:pPr>
      <w:hyperlink r:id="rId2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5E99C16F" w14:textId="77777777" w:rsidR="00EC425E" w:rsidRPr="00EC425E" w:rsidRDefault="00EC425E" w:rsidP="00EC425E">
      <w:pPr>
        <w:numPr>
          <w:ilvl w:val="0"/>
          <w:numId w:val="8"/>
        </w:numPr>
        <w:spacing w:after="0" w:line="270" w:lineRule="atLeast"/>
        <w:ind w:left="0"/>
        <w:rPr>
          <w:rFonts w:ascii="inherit" w:eastAsia="Times New Roman" w:hAnsi="inherit" w:cs="Times New Roman"/>
          <w:color w:val="808080"/>
          <w:sz w:val="20"/>
          <w:szCs w:val="20"/>
        </w:rPr>
      </w:pPr>
      <w:hyperlink r:id="rId28" w:history="1">
        <w:r w:rsidRPr="00EC425E">
          <w:rPr>
            <w:rFonts w:ascii="inherit" w:eastAsia="Times New Roman" w:hAnsi="inherit" w:cs="Times New Roman"/>
            <w:color w:val="0069D6"/>
            <w:sz w:val="20"/>
            <w:szCs w:val="20"/>
            <w:u w:val="single"/>
            <w:bdr w:val="none" w:sz="0" w:space="0" w:color="auto" w:frame="1"/>
          </w:rPr>
          <w:t>Print</w:t>
        </w:r>
      </w:hyperlink>
    </w:p>
    <w:p w14:paraId="4B9EB569" w14:textId="77777777" w:rsidR="00EC425E" w:rsidRPr="00EC425E" w:rsidRDefault="00EC425E" w:rsidP="00EC425E">
      <w:pPr>
        <w:numPr>
          <w:ilvl w:val="0"/>
          <w:numId w:val="8"/>
        </w:numPr>
        <w:spacing w:after="0" w:line="270" w:lineRule="atLeast"/>
        <w:ind w:left="0"/>
        <w:rPr>
          <w:rFonts w:ascii="inherit" w:eastAsia="Times New Roman" w:hAnsi="inherit" w:cs="Times New Roman"/>
          <w:color w:val="808080"/>
          <w:sz w:val="20"/>
          <w:szCs w:val="20"/>
        </w:rPr>
      </w:pPr>
      <w:hyperlink r:id="rId29" w:anchor="search" w:history="1">
        <w:r w:rsidRPr="00EC425E">
          <w:rPr>
            <w:rFonts w:ascii="inherit" w:eastAsia="Times New Roman" w:hAnsi="inherit" w:cs="Times New Roman"/>
            <w:color w:val="0069D6"/>
            <w:sz w:val="20"/>
            <w:szCs w:val="20"/>
            <w:u w:val="single"/>
            <w:bdr w:val="none" w:sz="0" w:space="0" w:color="auto" w:frame="1"/>
          </w:rPr>
          <w:t>Search</w:t>
        </w:r>
      </w:hyperlink>
    </w:p>
    <w:p w14:paraId="22A2612D" w14:textId="77777777" w:rsidR="00EC425E" w:rsidRPr="00EC425E" w:rsidRDefault="00EC425E" w:rsidP="00EC425E">
      <w:pPr>
        <w:numPr>
          <w:ilvl w:val="0"/>
          <w:numId w:val="8"/>
        </w:numPr>
        <w:spacing w:after="0" w:line="270" w:lineRule="atLeast"/>
        <w:ind w:left="75"/>
        <w:rPr>
          <w:rFonts w:ascii="inherit" w:eastAsia="Times New Roman" w:hAnsi="inherit" w:cs="Times New Roman"/>
          <w:color w:val="808080"/>
          <w:sz w:val="20"/>
          <w:szCs w:val="20"/>
        </w:rPr>
      </w:pPr>
      <w:hyperlink r:id="rId3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4A76C1A1" w14:textId="77777777" w:rsidR="00EC425E" w:rsidRPr="00EC425E" w:rsidRDefault="00EC425E" w:rsidP="00EC425E">
      <w:pPr>
        <w:numPr>
          <w:ilvl w:val="0"/>
          <w:numId w:val="8"/>
        </w:numPr>
        <w:spacing w:after="0" w:line="270" w:lineRule="atLeast"/>
        <w:ind w:left="30"/>
        <w:rPr>
          <w:rFonts w:ascii="inherit" w:eastAsia="Times New Roman" w:hAnsi="inherit" w:cs="Times New Roman"/>
          <w:color w:val="808080"/>
          <w:sz w:val="20"/>
          <w:szCs w:val="20"/>
        </w:rPr>
      </w:pPr>
      <w:hyperlink r:id="rId31" w:anchor="help" w:history="1">
        <w:r w:rsidRPr="00EC425E">
          <w:rPr>
            <w:rFonts w:ascii="inherit" w:eastAsia="Times New Roman" w:hAnsi="inherit" w:cs="Times New Roman"/>
            <w:color w:val="0069D6"/>
            <w:sz w:val="20"/>
            <w:szCs w:val="20"/>
            <w:u w:val="single"/>
            <w:bdr w:val="none" w:sz="0" w:space="0" w:color="auto" w:frame="1"/>
          </w:rPr>
          <w:t>Help</w:t>
        </w:r>
      </w:hyperlink>
    </w:p>
    <w:p w14:paraId="48EF25DD"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2.3 Africa, the Americas, and Southeast …</w:t>
      </w:r>
    </w:p>
    <w:p w14:paraId="198C6A1A"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3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3ACF209E"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3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37231794" w14:textId="77777777" w:rsidR="00EC425E" w:rsidRPr="00EC425E" w:rsidRDefault="00EC425E" w:rsidP="00EC425E">
      <w:pPr>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2.3 Africa, the Americas, and Southeast Asia in the Premodern Era (600 BCE–1600 CE)</w:t>
      </w:r>
    </w:p>
    <w:p w14:paraId="584C5BDC"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scarcity of written sources that limits our access to peasant family life also affects our understanding of all families in Africa, theAmericas, and much of Southeast Asia and the Pacific before the modern period. Historians and anthropologists use a variety of means tostudy kinship organizations, marital patterns, living arrangements, and other aspects of family structure: oral history and traditions, laterwritten records, reports of outsiders, such as Muslim traders in Africa or Christian missionaries in America and the Pacific islands, directinterviews with living individuals, archaeological remains, linguistic analysis of words denoting family and kin. All of these provide evidenceabout families in the past, but scholars also warn about their limitations; outsiders brought their own biases, archaeological remains aredifficult to interpret, and oral history (like all history) represents a specific perspective. What</w:t>
      </w:r>
      <w:r w:rsidRPr="00EC425E">
        <w:rPr>
          <w:rFonts w:ascii="Cambria" w:eastAsia="Times New Roman" w:hAnsi="Cambria" w:cs="Times New Roman"/>
          <w:color w:val="000000"/>
          <w:sz w:val="24"/>
          <w:szCs w:val="24"/>
        </w:rPr>
        <w:lastRenderedPageBreak/>
        <w:t> is described as “traditional” may often be quitenew, for family patterns are not static. They may also be quite different in groups which are fairly close to one another geographically; if theKhasi and the Musuo were able to survive in China and India, it is no surprise that groups in areas without strong written traditionsdeveloped very diverse family forms and arrangements.</w:t>
      </w:r>
    </w:p>
    <w:p w14:paraId="046CF1A0"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There are a few patterns found in most cultures over these huge areas, however. The “family” was often defined as a fairly wide group ofrelatives, and this kin group had a voice in domestic and other matters, such as who would marry and when they would do so, who would besent to school and how long they would attend, who would have access to land or other economic resources, whose conduct wasunacceptable and worthy of censure or punishment. These decisions were arrived at through a process of negotiation and discussion withinthe family, with the influence of each member dependent on the situation. The opinions of older family members generally carried moreweight than those of younger, the opinions of first born more than later born, and the opinions of men more than women. These twohierarchies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age and gender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interacted in complex ways dependent on the issue at hand, with older women sometimes having control ofyounger men on certain matters. In some cultures, older women served as matchmakers, suggesting or arranging marriages.</w:t>
      </w:r>
    </w:p>
    <w:p w14:paraId="627E2D69"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Wealth was another hierarchy that shaped family life in these areas, as in the rest of the world. In some areas most marriages weremonogamous, and in some polygyny was quite common, but even in areas where monogamy was the rule, wealthy and powerful men marriedmore than one wife or had several secondary wives or concubines along with a principal wife, a pattern often termed “resource polygyny.”Rulers of states and villages had the most wives, concubines, slaves, and other types of female dependents as a sign of status. The expansionof Islam in Africa and Southeast Asia supported this pattern. Under Islamic law, the legal status of children followed that of their father, nottheir mother, so all the children born in the household of a free man would be free, and recognized as his children. Those born to free or slaveconcubines had a lesser status than those born to wives, but they were free. Later the Atlantic slave trade also reinforced polygyny in Africa,because two-thirds of the millions taken to the New World were men.</w:t>
      </w:r>
    </w:p>
    <w:p w14:paraId="1DA10E6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Powerful men also used marriage as a way to make or cement alliances, or as a symbol of conquest. The leaders of both the Incas and theAztecs, for example, married the daughters of rulers of the tribes they had conquered, and in seventeenth-century Virginia, the Algonkian-speaking chief Powhatan reinforced his domination of other groups by marrying women from their villages and then sending them back oncethey had borne him a child.</w:t>
      </w:r>
    </w:p>
    <w:p w14:paraId="46B17508"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Living arrangements varied in polygynous marriages. In much of Africa, families lived in house-compounds in which each wife had her ownhouse; each wife also had her own cattle, fields, and property, for the notion that a wife’s property actually belonged to her husband thatbecame standard in Europe was not accepted in most of Africa. In parts of the world in which women were secluded, all wives lived within thesame household, often in a special part of t</w:t>
      </w:r>
      <w:r w:rsidRPr="00EC425E">
        <w:rPr>
          <w:rFonts w:ascii="Cambria" w:eastAsia="Times New Roman" w:hAnsi="Cambria" w:cs="Times New Roman"/>
          <w:color w:val="000000"/>
          <w:sz w:val="24"/>
          <w:szCs w:val="24"/>
        </w:rPr>
        <w:lastRenderedPageBreak/>
        <w:t>he house constructed for them, termed the </w:t>
      </w:r>
      <w:r w:rsidRPr="00EC425E">
        <w:rPr>
          <w:rFonts w:ascii="inherit" w:eastAsia="Times New Roman" w:hAnsi="inherit" w:cs="Times New Roman"/>
          <w:i/>
          <w:iCs/>
          <w:color w:val="000000"/>
          <w:sz w:val="24"/>
          <w:szCs w:val="24"/>
          <w:bdr w:val="none" w:sz="0" w:space="0" w:color="auto" w:frame="1"/>
        </w:rPr>
        <w:t>harim</w:t>
      </w:r>
      <w:r w:rsidRPr="00EC425E">
        <w:rPr>
          <w:rFonts w:ascii="Cambria" w:eastAsia="Times New Roman" w:hAnsi="Cambria" w:cs="Times New Roman"/>
          <w:color w:val="000000"/>
          <w:sz w:val="24"/>
          <w:szCs w:val="24"/>
        </w:rPr>
        <w:t> (which means “forbidden area”) or </w:t>
      </w:r>
      <w:r w:rsidRPr="00EC425E">
        <w:rPr>
          <w:rFonts w:ascii="inherit" w:eastAsia="Times New Roman" w:hAnsi="inherit" w:cs="Times New Roman"/>
          <w:i/>
          <w:iCs/>
          <w:color w:val="000000"/>
          <w:sz w:val="24"/>
          <w:szCs w:val="24"/>
          <w:bdr w:val="none" w:sz="0" w:space="0" w:color="auto" w:frame="1"/>
        </w:rPr>
        <w:t>zenana</w:t>
      </w:r>
      <w:r w:rsidRPr="00EC425E">
        <w:rPr>
          <w:rFonts w:ascii="Cambria" w:eastAsia="Times New Roman" w:hAnsi="Cambria" w:cs="Times New Roman"/>
          <w:color w:val="000000"/>
          <w:sz w:val="24"/>
          <w:szCs w:val="24"/>
        </w:rPr>
        <w:t>. (Seechapters 4 and 5 for longer discussions of the seclusion of women.)</w:t>
      </w:r>
    </w:p>
    <w:p w14:paraId="20E38CEC"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Many cultures in Africa, the Americas, and the Pacific were matrilineal, in which membership in a kin group is traced through the femaleline and a man’s heirs were his sister’s children. This did not necessarily mean that women were economically or legally autonomous, but thatthey depended on their brothers rather than their husbands. Their brothers also depended on them, however, for many of these cultures alsohad systems of marriage in which husband brought a bridewealth to his wife’s family. A man often used the money, land, or goods that thefamily had received as the bridewealth at the marriage of his sister as his own bridewealth, so that his marriage was dependent on his sistermarrying well. A prospective groom also frequently performed brideservice for the family of his future wife, working for his future father-in-law either before the wedding or in a period of trial marriage. Matrilineal inheritance systems encouraged close lifelong relations amongsiblings, with women relying on their birth families for support if they came into conflict with their husbands. This was particularly true ingroups that were also matrilocal, such as those in eastern North America, in which husbands came to live with their wives’ clans and relatedwomen lived together. Relations with one’s mother’s kin were thus more important than those with one’s father’s kin or even one’s spouse,and children often regarded their mother’s brothers with particular respect. Matrilineal, matrilocal systems allowed for the relatively easy in-marriage of men from other groups, because they could not claim immediate control over their wives’ property.</w:t>
      </w:r>
    </w:p>
    <w:p w14:paraId="54A20B7B"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Matrilineal inheritance systems and bridewealth made some family relationships stronger, but they also created tensions. Brideservicecould lead to resentment. Men objected to the influence of their wives’ families, and, in areas where wives moved to their husband’shouseholds, intentionally chose wives who came from far away, which also lessened the degree to which their sons could rely on theirmaternal uncles. Conflict between fathers and sons was exacerbated by resource polygyny and bridewealth, as families had to decide whethertheir resources would best be spent acquiring a first wife for a son or another wife for the father. Some scholars have seen this generationalconflict as a source for harsh initiation rituals which unmarried young men often had to undergo; only those who had gone through suchrituals would be allowed to marry and join the ranks of fully adult men.</w:t>
      </w:r>
    </w:p>
    <w:p w14:paraId="679F4E0A"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Some groups in Africa and the Americas had bilateral inheritance. Among many peoples living in the Andean region, for example, lines ofdescent were reckoned through both sexes, with girls inheriting access to resources such as land, water, and animals through their mothers,and boys through their fathers. In other groups with bilateral inheritance, such as the Yako of Nigeria, only men inherited, but they did sofrom both their fathers and their mothers’ brothers.</w:t>
      </w:r>
    </w:p>
    <w:p w14:paraId="6581C619"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Some form of divorce or marital separation was available in most of these cultures, and in some it was quite easy for either spouse toinitiate. Among matrilocal groups in North America, for example, a man who wished to divorce simply left his wife’s house, while a womanput her husband’s belongings outside her family’s house, indicating she wished him to leave; the children in both cases stayed with themother and her family. Among some groups di</w:t>
      </w:r>
      <w:r w:rsidRPr="00EC425E">
        <w:rPr>
          <w:rFonts w:ascii="Cambria" w:eastAsia="Times New Roman" w:hAnsi="Cambria" w:cs="Times New Roman"/>
          <w:color w:val="000000"/>
          <w:sz w:val="24"/>
          <w:szCs w:val="24"/>
        </w:rPr>
        <w:lastRenderedPageBreak/>
        <w:t>vorce was frowned upon after children had been born, however, or because it would involvecomplicated financial transactions, such as the return of bridewealth.</w:t>
      </w:r>
    </w:p>
    <w:p w14:paraId="3E999F93"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Relatively easy divorce was an essential part of systems of temporary marriage that developed in some parts of Southeast Asia and thePacific. These were cultures in which people were taught to have a strong sense of debt and obligation to their parents and family for havingbeen given life, termed </w:t>
      </w:r>
      <w:r w:rsidRPr="00EC425E">
        <w:rPr>
          <w:rFonts w:ascii="inherit" w:eastAsia="Times New Roman" w:hAnsi="inherit" w:cs="Times New Roman"/>
          <w:i/>
          <w:iCs/>
          <w:color w:val="000000"/>
          <w:sz w:val="24"/>
          <w:szCs w:val="24"/>
          <w:bdr w:val="none" w:sz="0" w:space="0" w:color="auto" w:frame="1"/>
        </w:rPr>
        <w:t>òn</w:t>
      </w:r>
      <w:r w:rsidRPr="00EC425E">
        <w:rPr>
          <w:rFonts w:ascii="Cambria" w:eastAsia="Times New Roman" w:hAnsi="Cambria" w:cs="Times New Roman"/>
          <w:color w:val="000000"/>
          <w:sz w:val="24"/>
          <w:szCs w:val="24"/>
        </w:rPr>
        <w:t> in Vietnamese and </w:t>
      </w:r>
      <w:r w:rsidRPr="00EC425E">
        <w:rPr>
          <w:rFonts w:ascii="inherit" w:eastAsia="Times New Roman" w:hAnsi="inherit" w:cs="Times New Roman"/>
          <w:i/>
          <w:iCs/>
          <w:color w:val="000000"/>
          <w:sz w:val="24"/>
          <w:szCs w:val="24"/>
          <w:bdr w:val="none" w:sz="0" w:space="0" w:color="auto" w:frame="1"/>
        </w:rPr>
        <w:t>hiya</w:t>
      </w:r>
      <w:r w:rsidRPr="00EC425E">
        <w:rPr>
          <w:rFonts w:ascii="Cambria" w:eastAsia="Times New Roman" w:hAnsi="Cambria" w:cs="Times New Roman"/>
          <w:color w:val="000000"/>
          <w:sz w:val="24"/>
          <w:szCs w:val="24"/>
        </w:rPr>
        <w:t> in Tagalog, the language of part of the Philippines. This concept of debt extended beyondthe family to the larger political and economic realm, so that people were often enmeshed in a complex system of dependency, sometimesplacing themselves or family members into slavery to another in return for support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what is often termed “debt-slavery”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or otherwisepromising loyalty or service. One also gave gifts in order to have others in one’s debt; gift-giving was an important way to make alliances,pacify possible enemies, and create links and networks of obligations among strangers. Often these gifts included women, for exchangingwomen was considered the best way to transform strangers into relatives. These unions were often accompanied by a marriage ceremonyand the expectation of spousal fidelity, but they were also understood to be temporary. If the spouses disagreed with one another or the manwas from elsewhere and returned to his home country, the marriage ended, just as marriages between local spouses ended if there wasconflict or one spouse disappeared for a year or more. Both sides gained from such temporary marriages; the man gained a sexual anddomestic partner, and the woman and her family gained prestige through their contact with an outsider and their repayment of a debt.Concepts of debt also structured marriage patterns in other ways; prospective grooms frequently carried out brideservice for their futurefathers-in-law, understood as paying off their obligations.</w:t>
      </w:r>
    </w:p>
    <w:p w14:paraId="268B92DC" w14:textId="77777777" w:rsidR="00EC425E" w:rsidRPr="00EC425E" w:rsidRDefault="00EC425E" w:rsidP="00EC425E">
      <w:pPr>
        <w:numPr>
          <w:ilvl w:val="0"/>
          <w:numId w:val="9"/>
        </w:numPr>
        <w:spacing w:after="0" w:line="270" w:lineRule="atLeast"/>
        <w:ind w:left="0"/>
        <w:rPr>
          <w:rFonts w:ascii="inherit" w:eastAsia="Times New Roman" w:hAnsi="inherit" w:cs="Times New Roman"/>
          <w:color w:val="808080"/>
          <w:sz w:val="20"/>
          <w:szCs w:val="20"/>
        </w:rPr>
      </w:pPr>
      <w:hyperlink r:id="rId34" w:history="1">
        <w:r w:rsidRPr="00EC425E">
          <w:rPr>
            <w:rFonts w:ascii="inherit" w:eastAsia="Times New Roman" w:hAnsi="inherit" w:cs="Times New Roman"/>
            <w:color w:val="0069D6"/>
            <w:sz w:val="20"/>
            <w:szCs w:val="20"/>
            <w:u w:val="single"/>
            <w:bdr w:val="none" w:sz="0" w:space="0" w:color="auto" w:frame="1"/>
          </w:rPr>
          <w:t>Notebook</w:t>
        </w:r>
      </w:hyperlink>
    </w:p>
    <w:p w14:paraId="5E65259F" w14:textId="538DCE33" w:rsidR="00EC425E" w:rsidRDefault="00EC425E" w:rsidP="00EC425E"/>
    <w:p w14:paraId="08F6A679" w14:textId="77777777" w:rsidR="00EC425E" w:rsidRPr="00EC425E" w:rsidRDefault="00EC425E" w:rsidP="00EC425E">
      <w:pPr>
        <w:numPr>
          <w:ilvl w:val="0"/>
          <w:numId w:val="10"/>
        </w:numPr>
        <w:spacing w:after="0" w:line="270" w:lineRule="atLeast"/>
        <w:ind w:left="0"/>
        <w:rPr>
          <w:rFonts w:ascii="inherit" w:eastAsia="Times New Roman" w:hAnsi="inherit" w:cs="Times New Roman"/>
          <w:color w:val="808080"/>
          <w:sz w:val="20"/>
          <w:szCs w:val="20"/>
        </w:rPr>
      </w:pPr>
      <w:hyperlink r:id="rId35" w:history="1">
        <w:r w:rsidRPr="00EC425E">
          <w:rPr>
            <w:rFonts w:ascii="inherit" w:eastAsia="Times New Roman" w:hAnsi="inherit" w:cs="Times New Roman"/>
            <w:color w:val="0069D6"/>
            <w:sz w:val="20"/>
            <w:szCs w:val="20"/>
            <w:u w:val="single"/>
            <w:bdr w:val="none" w:sz="0" w:space="0" w:color="auto" w:frame="1"/>
          </w:rPr>
          <w:t>My Bookshelf</w:t>
        </w:r>
      </w:hyperlink>
    </w:p>
    <w:p w14:paraId="795D248E" w14:textId="77777777" w:rsidR="00EC425E" w:rsidRPr="00EC425E" w:rsidRDefault="00EC425E" w:rsidP="00EC425E">
      <w:pPr>
        <w:numPr>
          <w:ilvl w:val="0"/>
          <w:numId w:val="10"/>
        </w:numPr>
        <w:spacing w:after="0" w:line="270" w:lineRule="atLeast"/>
        <w:ind w:left="0"/>
        <w:rPr>
          <w:rFonts w:ascii="inherit" w:eastAsia="Times New Roman" w:hAnsi="inherit" w:cs="Times New Roman"/>
          <w:color w:val="808080"/>
          <w:sz w:val="20"/>
          <w:szCs w:val="20"/>
        </w:rPr>
      </w:pPr>
      <w:hyperlink r:id="rId3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0550490F" w14:textId="77777777" w:rsidR="00EC425E" w:rsidRPr="00EC425E" w:rsidRDefault="00EC425E" w:rsidP="00EC425E">
      <w:pPr>
        <w:numPr>
          <w:ilvl w:val="0"/>
          <w:numId w:val="11"/>
        </w:numPr>
        <w:spacing w:after="0" w:line="270" w:lineRule="atLeast"/>
        <w:ind w:left="0"/>
        <w:rPr>
          <w:rFonts w:ascii="inherit" w:eastAsia="Times New Roman" w:hAnsi="inherit" w:cs="Times New Roman"/>
          <w:color w:val="808080"/>
          <w:sz w:val="20"/>
          <w:szCs w:val="20"/>
        </w:rPr>
      </w:pPr>
      <w:hyperlink r:id="rId3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740F8675" w14:textId="77777777" w:rsidR="00EC425E" w:rsidRPr="00EC425E" w:rsidRDefault="00EC425E" w:rsidP="00EC425E">
      <w:pPr>
        <w:numPr>
          <w:ilvl w:val="0"/>
          <w:numId w:val="11"/>
        </w:numPr>
        <w:spacing w:after="0" w:line="270" w:lineRule="atLeast"/>
        <w:ind w:left="0"/>
        <w:rPr>
          <w:rFonts w:ascii="inherit" w:eastAsia="Times New Roman" w:hAnsi="inherit" w:cs="Times New Roman"/>
          <w:color w:val="808080"/>
          <w:sz w:val="20"/>
          <w:szCs w:val="20"/>
        </w:rPr>
      </w:pPr>
      <w:hyperlink r:id="rId38" w:history="1">
        <w:r w:rsidRPr="00EC425E">
          <w:rPr>
            <w:rFonts w:ascii="inherit" w:eastAsia="Times New Roman" w:hAnsi="inherit" w:cs="Times New Roman"/>
            <w:color w:val="0069D6"/>
            <w:sz w:val="20"/>
            <w:szCs w:val="20"/>
            <w:u w:val="single"/>
            <w:bdr w:val="none" w:sz="0" w:space="0" w:color="auto" w:frame="1"/>
          </w:rPr>
          <w:t>Print</w:t>
        </w:r>
      </w:hyperlink>
    </w:p>
    <w:p w14:paraId="12A637AF" w14:textId="77777777" w:rsidR="00EC425E" w:rsidRPr="00EC425E" w:rsidRDefault="00EC425E" w:rsidP="00EC425E">
      <w:pPr>
        <w:numPr>
          <w:ilvl w:val="0"/>
          <w:numId w:val="11"/>
        </w:numPr>
        <w:spacing w:after="0" w:line="270" w:lineRule="atLeast"/>
        <w:ind w:left="0"/>
        <w:rPr>
          <w:rFonts w:ascii="inherit" w:eastAsia="Times New Roman" w:hAnsi="inherit" w:cs="Times New Roman"/>
          <w:color w:val="808080"/>
          <w:sz w:val="20"/>
          <w:szCs w:val="20"/>
        </w:rPr>
      </w:pPr>
      <w:hyperlink r:id="rId39" w:anchor="search" w:history="1">
        <w:r w:rsidRPr="00EC425E">
          <w:rPr>
            <w:rFonts w:ascii="inherit" w:eastAsia="Times New Roman" w:hAnsi="inherit" w:cs="Times New Roman"/>
            <w:color w:val="0069D6"/>
            <w:sz w:val="20"/>
            <w:szCs w:val="20"/>
            <w:u w:val="single"/>
            <w:bdr w:val="none" w:sz="0" w:space="0" w:color="auto" w:frame="1"/>
          </w:rPr>
          <w:t>Search</w:t>
        </w:r>
      </w:hyperlink>
    </w:p>
    <w:p w14:paraId="0DB2EDBF" w14:textId="77777777" w:rsidR="00EC425E" w:rsidRPr="00EC425E" w:rsidRDefault="00EC425E" w:rsidP="00EC425E">
      <w:pPr>
        <w:numPr>
          <w:ilvl w:val="0"/>
          <w:numId w:val="11"/>
        </w:numPr>
        <w:spacing w:after="0" w:line="270" w:lineRule="atLeast"/>
        <w:ind w:left="75"/>
        <w:rPr>
          <w:rFonts w:ascii="inherit" w:eastAsia="Times New Roman" w:hAnsi="inherit" w:cs="Times New Roman"/>
          <w:color w:val="808080"/>
          <w:sz w:val="20"/>
          <w:szCs w:val="20"/>
        </w:rPr>
      </w:pPr>
      <w:hyperlink r:id="rId4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24578291" w14:textId="77777777" w:rsidR="00EC425E" w:rsidRPr="00EC425E" w:rsidRDefault="00EC425E" w:rsidP="00EC425E">
      <w:pPr>
        <w:numPr>
          <w:ilvl w:val="0"/>
          <w:numId w:val="11"/>
        </w:numPr>
        <w:spacing w:after="0" w:line="270" w:lineRule="atLeast"/>
        <w:ind w:left="30"/>
        <w:rPr>
          <w:rFonts w:ascii="inherit" w:eastAsia="Times New Roman" w:hAnsi="inherit" w:cs="Times New Roman"/>
          <w:color w:val="808080"/>
          <w:sz w:val="20"/>
          <w:szCs w:val="20"/>
        </w:rPr>
      </w:pPr>
      <w:hyperlink r:id="rId41" w:anchor="help" w:history="1">
        <w:r w:rsidRPr="00EC425E">
          <w:rPr>
            <w:rFonts w:ascii="inherit" w:eastAsia="Times New Roman" w:hAnsi="inherit" w:cs="Times New Roman"/>
            <w:color w:val="0069D6"/>
            <w:sz w:val="20"/>
            <w:szCs w:val="20"/>
            <w:u w:val="single"/>
            <w:bdr w:val="none" w:sz="0" w:space="0" w:color="auto" w:frame="1"/>
          </w:rPr>
          <w:t>Help</w:t>
        </w:r>
      </w:hyperlink>
    </w:p>
    <w:p w14:paraId="4C38C7C5"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2.4 Medieval and Early Modern Europe and…</w:t>
      </w:r>
    </w:p>
    <w:p w14:paraId="3954BB44"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4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02A0EC5C"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4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729831ED" w14:textId="77777777" w:rsidR="00EC425E" w:rsidRPr="00EC425E" w:rsidRDefault="00EC425E" w:rsidP="00EC425E">
      <w:pPr>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2.4 Medieval and Early Modern Europe and the Mediterranean (500 CE–1600 CE)</w:t>
      </w:r>
    </w:p>
    <w:p w14:paraId="53C04D41"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Family life in most of Europe during the period from the Roman Empire to Columbus was shaped to a large degree by the Christian Church.Early Christian thinkers were often hostile </w:t>
      </w:r>
      <w:r w:rsidRPr="00EC425E">
        <w:rPr>
          <w:rFonts w:ascii="Cambria" w:eastAsia="Times New Roman" w:hAnsi="Cambria" w:cs="Times New Roman"/>
          <w:color w:val="000000"/>
          <w:sz w:val="24"/>
          <w:szCs w:val="24"/>
        </w:rPr>
        <w:lastRenderedPageBreak/>
        <w:t>to the family, viewing virginity as the preferred form of existence; alternatives to family life, inwhich men and women lived in single-sex communities dedicated to service to God, developed in most parts of Europe. In some areas, thesecommunities took in widows as well as never-married people, providing a safe and honorable place for women who chose not to marry or notto remarry, or whose families made this decision for them.</w:t>
      </w:r>
    </w:p>
    <w:p w14:paraId="1360A6A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Though there were certainly many people whose families decided when and whom and if they would marry, officially the Christian Churchdeclared that consent of the spouses was the basis of marriage; indeed, until the sixteenth century, consent of the spouses was all that wasrequired to have a valid marriage, though by the twelfth century many church leaders also regarded marriage as a sacrament, a ceremonythat provided visible evidence of God’s grace, like baptism. Because of its sacramental nature, marriage was increasingly held to beindissoluble, and sexual relations outside of marriage were viewed as illicit. Thus Christian Europe banned polygamy and divorce, andattempted to prohibit any form of sexual relationship that was not marriage, such as concubinage or premarital sex, termed fornication.Women were generally expected to bring a dowry when they married, which ranged from a few household goods to a whole province in thecase of the high nobility. Remarriage after the death of a spouse was acceptable for both men and women and very common, though menremarried faster than women and rural people faster than urban residents. Most issues regarding marriage and many other aspects of familylife came under the jurisdiction of church courts and were regulated by an increasingly elaborate legal system termed canon law. The idealsfor marriage were not followed in many instances: powerful individuals could often persuade church courts to grant annulments of marriagesthey needed to end (an annulment is a ruling that there never was a valid marriage in the first place, in contrast to divorce, which ends anexisting marriage); men, including priests and other church leaders, had concubines and mistresses; young people had sex before marriageand were forced into marriages they did not want. Nevertheless, these ideals and the institutions established to enforce them remainedimportant shapers of men’s and women’s understanding of and place within the family.</w:t>
      </w:r>
    </w:p>
    <w:p w14:paraId="7DE55D87"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Christianity provided the basic skeleton of family structure in medieval Europe, but there were also regional differences. In eastern Europe,the Orthodox Christian churches gradually came to allow divorce for adultery, abuse, abandonment, impotence, and barrenness, with bothspouses allowed (somewhat grudgingly) to remarry. Consent of the parents as well as the spouses was required for first marriages, especiallybecause age of marriage was often very early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12 to 13 for girls, 16 to 18 for boys. The couple generally lived with the parents of one spouse,usually the husband, and the strongest emotional bonds were often, as in India and China, those between mothers and sons rather thanspouses.</w:t>
      </w:r>
    </w:p>
    <w:p w14:paraId="63420B96"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After the Ottoman Turks defeated the Byzantine Empire in the fifteenth century, a large part of eastern Europe came under Muslim rule aspart of the vast Ottoman Empire, which stretched from North Africa to the Black Sea to the Persian Gulf. Open intermarriage betweenChristians and Muslims was not permitted, though marriage after one party (usually the wife) converted was accepted. Both Muslims andChristians used Muslim courts for cases involving marriage or other family matters, which responded to and shaped social changes occu</w:t>
      </w:r>
      <w:r w:rsidRPr="00EC425E">
        <w:rPr>
          <w:rFonts w:ascii="Cambria" w:eastAsia="Times New Roman" w:hAnsi="Cambria" w:cs="Times New Roman"/>
          <w:color w:val="000000"/>
          <w:sz w:val="24"/>
          <w:szCs w:val="24"/>
        </w:rPr>
        <w:lastRenderedPageBreak/>
        <w:t>rringaround them. Jews in Muslim areas also used Muslim family courts, though in general Jewish family life was regulated by Jewish laws andtraditions. Jewish marriages in most parts of Europe and the Mediterranean were similar to Christian marriages in eastern Europe, withparents playing an important role and spouses both young. Jewish writers emphasized companionship and affection between spouses,however, and described the ideal marriage as one predestined in heaven. Judaism did allow divorce, which was then sometimes justified onthe grounds that the spouses had obviously not been predestined for each other.</w:t>
      </w:r>
    </w:p>
    <w:p w14:paraId="77C369F5"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Among Christians in western Europe, two rather distinct family patterns developed in the Middle Ages. In the south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as in eastern Europeand much of the rest of the world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marriage was between teenagers who lived with one set of parents for a long time, or between a man inhis late twenties or thirties and a much younger woman, with households again containing several generations. (Demographers term this a“complex” household structure.) In northwestern Europe, historians have identified a marriage pattern unique in the world in the premodernperiod, with couples waiting until their mid or late twenties to marry, long beyond the age of sexual maturity, and then immediately setting upan independent household. (Demographers term this a “nuclear, neolocal” household structure.) Husbands were likely to be only two or threeyears older than their wives at first marriage, and although households often contained servants, they rarely contained more than one familymember who was not a part of the nuclear family.</w:t>
      </w:r>
    </w:p>
    <w:p w14:paraId="1EC4CE7F"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Historians are not exactly sure why northwestern Europe developed such a distinctive marriage pattern, and its consequences are easier totrace than its causes: fewer total pregnancies per woman, although not necessarily fewer total children; a greater level of economicindependence for newlyweds, who had often spent long periods as servants or workers in other households saving money and learning skills;more people who never married at all. The most unusual features of this pattern were the late age of marriage for women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which meant thatthey entered marriage as adults and took charge of running a household immediately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and the fact that a significant number of people nevermarried at all. Demographers estimate that between 10 and 15 percent of the northwestern European population never married in thefifteenth through the eighteenth centuries, and that in some places this figure may have been as high as 25 percent. Both late marriage forwomen and the large unmarried population were important checks on population growth, though they also worried contemporary religiousand political leaders, who continued to view marital households as the basis of society. Particularly in the sixteenth century, religiousreformers urged everyone to marry (Catholic reformers excepted those who lived in religious communities, but advocated marriage foreveryone else) and political leaders passed laws forbidding unmarried people to live on their own.</w:t>
      </w:r>
    </w:p>
    <w:p w14:paraId="7F32A697" w14:textId="77777777" w:rsidR="00EC425E" w:rsidRPr="00EC425E" w:rsidRDefault="00EC425E" w:rsidP="00EC425E">
      <w:pPr>
        <w:numPr>
          <w:ilvl w:val="0"/>
          <w:numId w:val="12"/>
        </w:numPr>
        <w:spacing w:after="0" w:line="270" w:lineRule="atLeast"/>
        <w:ind w:left="0"/>
        <w:rPr>
          <w:rFonts w:ascii="inherit" w:eastAsia="Times New Roman" w:hAnsi="inherit" w:cs="Times New Roman"/>
          <w:color w:val="808080"/>
          <w:sz w:val="20"/>
          <w:szCs w:val="20"/>
        </w:rPr>
      </w:pPr>
      <w:hyperlink r:id="rId44" w:history="1">
        <w:r w:rsidRPr="00EC425E">
          <w:rPr>
            <w:rFonts w:ascii="inherit" w:eastAsia="Times New Roman" w:hAnsi="inherit" w:cs="Times New Roman"/>
            <w:color w:val="0069D6"/>
            <w:sz w:val="20"/>
            <w:szCs w:val="20"/>
            <w:u w:val="single"/>
            <w:bdr w:val="none" w:sz="0" w:space="0" w:color="auto" w:frame="1"/>
          </w:rPr>
          <w:t>Notebook</w:t>
        </w:r>
      </w:hyperlink>
    </w:p>
    <w:p w14:paraId="552DE17F" w14:textId="77777777" w:rsidR="00EC425E" w:rsidRPr="00EC425E" w:rsidRDefault="00EC425E" w:rsidP="00EC425E">
      <w:pPr>
        <w:spacing w:after="0" w:line="240" w:lineRule="auto"/>
        <w:rPr>
          <w:rFonts w:ascii="Helvetica" w:eastAsia="Times New Roman" w:hAnsi="Helvetica" w:cs="Helvetica"/>
          <w:color w:val="404040"/>
          <w:sz w:val="20"/>
          <w:szCs w:val="20"/>
        </w:rPr>
      </w:pPr>
      <w:r w:rsidRPr="00EC425E">
        <w:rPr>
          <w:rFonts w:ascii="Helvetica" w:eastAsia="Times New Roman" w:hAnsi="Helvetica" w:cs="Helvetica"/>
          <w:color w:val="404040"/>
          <w:sz w:val="20"/>
          <w:szCs w:val="20"/>
        </w:rPr>
        <w:t> </w:t>
      </w:r>
    </w:p>
    <w:p w14:paraId="4EAB0B52" w14:textId="77777777" w:rsidR="00EC425E" w:rsidRPr="00EC425E" w:rsidRDefault="00EC425E" w:rsidP="00EC425E">
      <w:pPr>
        <w:numPr>
          <w:ilvl w:val="0"/>
          <w:numId w:val="13"/>
        </w:numPr>
        <w:spacing w:after="0" w:line="270" w:lineRule="atLeast"/>
        <w:ind w:left="0"/>
        <w:rPr>
          <w:rFonts w:ascii="inherit" w:eastAsia="Times New Roman" w:hAnsi="inherit" w:cs="Times New Roman"/>
          <w:color w:val="808080"/>
          <w:sz w:val="20"/>
          <w:szCs w:val="20"/>
        </w:rPr>
      </w:pPr>
      <w:hyperlink r:id="rId45" w:history="1">
        <w:r w:rsidRPr="00EC425E">
          <w:rPr>
            <w:rFonts w:ascii="inherit" w:eastAsia="Times New Roman" w:hAnsi="inherit" w:cs="Times New Roman"/>
            <w:color w:val="0069D6"/>
            <w:sz w:val="20"/>
            <w:szCs w:val="20"/>
            <w:u w:val="single"/>
            <w:bdr w:val="none" w:sz="0" w:space="0" w:color="auto" w:frame="1"/>
          </w:rPr>
          <w:t>My Bookshelf</w:t>
        </w:r>
      </w:hyperlink>
    </w:p>
    <w:p w14:paraId="12DE1CC9" w14:textId="77777777" w:rsidR="00EC425E" w:rsidRPr="00EC425E" w:rsidRDefault="00EC425E" w:rsidP="00EC425E">
      <w:pPr>
        <w:numPr>
          <w:ilvl w:val="0"/>
          <w:numId w:val="13"/>
        </w:numPr>
        <w:spacing w:after="0" w:line="270" w:lineRule="atLeast"/>
        <w:ind w:left="0"/>
        <w:rPr>
          <w:rFonts w:ascii="inherit" w:eastAsia="Times New Roman" w:hAnsi="inherit" w:cs="Times New Roman"/>
          <w:color w:val="808080"/>
          <w:sz w:val="20"/>
          <w:szCs w:val="20"/>
        </w:rPr>
      </w:pPr>
      <w:hyperlink r:id="rId4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6E03163F" w14:textId="77777777" w:rsidR="00EC425E" w:rsidRPr="00EC425E" w:rsidRDefault="00EC425E" w:rsidP="00EC425E">
      <w:pPr>
        <w:numPr>
          <w:ilvl w:val="0"/>
          <w:numId w:val="14"/>
        </w:numPr>
        <w:spacing w:after="0" w:line="270" w:lineRule="atLeast"/>
        <w:ind w:left="0"/>
        <w:rPr>
          <w:rFonts w:ascii="inherit" w:eastAsia="Times New Roman" w:hAnsi="inherit" w:cs="Times New Roman"/>
          <w:color w:val="808080"/>
          <w:sz w:val="20"/>
          <w:szCs w:val="20"/>
        </w:rPr>
      </w:pPr>
      <w:hyperlink r:id="rId4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077956D1" w14:textId="77777777" w:rsidR="00EC425E" w:rsidRPr="00EC425E" w:rsidRDefault="00EC425E" w:rsidP="00EC425E">
      <w:pPr>
        <w:numPr>
          <w:ilvl w:val="0"/>
          <w:numId w:val="14"/>
        </w:numPr>
        <w:spacing w:after="0" w:line="270" w:lineRule="atLeast"/>
        <w:ind w:left="0"/>
        <w:rPr>
          <w:rFonts w:ascii="inherit" w:eastAsia="Times New Roman" w:hAnsi="inherit" w:cs="Times New Roman"/>
          <w:color w:val="808080"/>
          <w:sz w:val="20"/>
          <w:szCs w:val="20"/>
        </w:rPr>
      </w:pPr>
      <w:hyperlink r:id="rId48" w:history="1">
        <w:r w:rsidRPr="00EC425E">
          <w:rPr>
            <w:rFonts w:ascii="inherit" w:eastAsia="Times New Roman" w:hAnsi="inherit" w:cs="Times New Roman"/>
            <w:color w:val="0069D6"/>
            <w:sz w:val="20"/>
            <w:szCs w:val="20"/>
            <w:u w:val="single"/>
            <w:bdr w:val="none" w:sz="0" w:space="0" w:color="auto" w:frame="1"/>
          </w:rPr>
          <w:t>Print</w:t>
        </w:r>
      </w:hyperlink>
    </w:p>
    <w:p w14:paraId="55044101" w14:textId="77777777" w:rsidR="00EC425E" w:rsidRPr="00EC425E" w:rsidRDefault="00EC425E" w:rsidP="00EC425E">
      <w:pPr>
        <w:numPr>
          <w:ilvl w:val="0"/>
          <w:numId w:val="14"/>
        </w:numPr>
        <w:spacing w:after="0" w:line="270" w:lineRule="atLeast"/>
        <w:ind w:left="0"/>
        <w:rPr>
          <w:rFonts w:ascii="inherit" w:eastAsia="Times New Roman" w:hAnsi="inherit" w:cs="Times New Roman"/>
          <w:color w:val="808080"/>
          <w:sz w:val="20"/>
          <w:szCs w:val="20"/>
        </w:rPr>
      </w:pPr>
      <w:hyperlink r:id="rId49" w:anchor="search" w:history="1">
        <w:r w:rsidRPr="00EC425E">
          <w:rPr>
            <w:rFonts w:ascii="inherit" w:eastAsia="Times New Roman" w:hAnsi="inherit" w:cs="Times New Roman"/>
            <w:color w:val="0069D6"/>
            <w:sz w:val="20"/>
            <w:szCs w:val="20"/>
            <w:u w:val="single"/>
            <w:bdr w:val="none" w:sz="0" w:space="0" w:color="auto" w:frame="1"/>
          </w:rPr>
          <w:t>Search</w:t>
        </w:r>
      </w:hyperlink>
    </w:p>
    <w:p w14:paraId="1F3E9C3B" w14:textId="77777777" w:rsidR="00EC425E" w:rsidRPr="00EC425E" w:rsidRDefault="00EC425E" w:rsidP="00EC425E">
      <w:pPr>
        <w:numPr>
          <w:ilvl w:val="0"/>
          <w:numId w:val="14"/>
        </w:numPr>
        <w:spacing w:after="0" w:line="270" w:lineRule="atLeast"/>
        <w:ind w:left="75"/>
        <w:rPr>
          <w:rFonts w:ascii="inherit" w:eastAsia="Times New Roman" w:hAnsi="inherit" w:cs="Times New Roman"/>
          <w:color w:val="808080"/>
          <w:sz w:val="20"/>
          <w:szCs w:val="20"/>
        </w:rPr>
      </w:pPr>
      <w:hyperlink r:id="rId5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3FFC473E" w14:textId="77777777" w:rsidR="00EC425E" w:rsidRPr="00EC425E" w:rsidRDefault="00EC425E" w:rsidP="00EC425E">
      <w:pPr>
        <w:numPr>
          <w:ilvl w:val="0"/>
          <w:numId w:val="14"/>
        </w:numPr>
        <w:spacing w:after="0" w:line="270" w:lineRule="atLeast"/>
        <w:ind w:left="30"/>
        <w:rPr>
          <w:rFonts w:ascii="inherit" w:eastAsia="Times New Roman" w:hAnsi="inherit" w:cs="Times New Roman"/>
          <w:color w:val="808080"/>
          <w:sz w:val="20"/>
          <w:szCs w:val="20"/>
        </w:rPr>
      </w:pPr>
      <w:hyperlink r:id="rId51" w:anchor="help" w:history="1">
        <w:r w:rsidRPr="00EC425E">
          <w:rPr>
            <w:rFonts w:ascii="inherit" w:eastAsia="Times New Roman" w:hAnsi="inherit" w:cs="Times New Roman"/>
            <w:color w:val="0069D6"/>
            <w:sz w:val="20"/>
            <w:szCs w:val="20"/>
            <w:u w:val="single"/>
            <w:bdr w:val="none" w:sz="0" w:space="0" w:color="auto" w:frame="1"/>
          </w:rPr>
          <w:t>Help</w:t>
        </w:r>
      </w:hyperlink>
    </w:p>
    <w:p w14:paraId="4C45FE1F"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2.5 The Colonial World (1500–1900)</w:t>
      </w:r>
    </w:p>
    <w:p w14:paraId="3432DAFB"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5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1E07A25B"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5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25EC485D" w14:textId="77777777" w:rsidR="00EC425E" w:rsidRPr="00EC425E" w:rsidRDefault="00EC425E" w:rsidP="00EC425E">
      <w:pPr>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2.5 The Colonial World (1500–1900)</w:t>
      </w:r>
    </w:p>
    <w:p w14:paraId="74A0E050"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many parts of the world, the family forms that had developed before 1500 were radically altered by European exploration and colonization.Europeans brought with them not only their own religious, political, and economic structures, but also their own ideas of proper family lifeand the institutions designed to enforce those ideas. As in Europe, Christianity provided the official structure for family life in much of thecolonial world; polygyny was abolished, divorce made more difficult, premarital sexual activity prohibited, church courts established tohandle family issues. The lives of actual families and the roles of men and women in them were often shaped more by two other factors,however. The first was the germs that Europeans brought with them, which often advanced ahead of actual colonial forces. In some casesdisease wiped out entire indigenous groups, and everywhere it disrupted patterns of marriage and family life. The second was the expansionof existing ways of understanding kinship to include huge categories of people, distinguished from one another by skin tone and facialfeatures in what later came to be understood as “race.”</w:t>
      </w:r>
    </w:p>
    <w:p w14:paraId="5ACA56AB"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Notions of race were rooted in earlier ideas about difference, particularly ideas about “blood.” In many cultures, “blood” was a common wayof conceptualizing family, clan, and social differences, with those of “noble blood” prohibited from marrying commoners and taught to beconcerned about their blood lines. This has been studied most extensively in Europe, but high-status people in other parts of the world werealso thought to have superior blood; in parts of Indonesia, for example, nobles were referred to as “white-blooded” and their marriageslimited to others with similar blood. Blood also came to be used to describe national boundaries, with those having “French blood”distinguished from those having “German blood,” “English blood,” or “Spanish blood.” Religious beliefs were also conceptualized as blood,with people regarded as having Jewish, Muslim, or Christian blood, and after the Reformation Protestant or Catholic blood. The most dramaticexpression of this was in early modern Spain, where “purity of blood”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having no Jewish or Muslim ancestors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became an obsession, but itwas also true elsewhere. European fathers choosing a wetnurse for their children took care to make sure she was of the same denomination,lest, if he was a Catholic, her Protestant blood turn into Protestant milk and thus infect the child with heretical ideas. Children born ofreligiously mixed marriages were often slightly mistrusted, for one never knew which blood would ultimately triumph. In some cases, such asJews or Jewish converts in Spain and the Spanish empire, or Catholic Gaelic Irish in Ireland, religious and ethnic differences were linked, withreligious traditions being viewed as signs of barbarity and inferiority.</w:t>
      </w:r>
    </w:p>
    <w:p w14:paraId="1F6BD6D5"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lastRenderedPageBreak/>
        <w:t>Describing differences as blood naturalized them, making them appear as if they were created by God in nature, but people often heldcontradictory ideas about this. Thus the same religious reformers who warned against choosing the wrong wetnurse also worked forconversions, and did not think about whether adopting a new religion would also change a woman’s milk. Rulers who supported nobles’privileges because of their distinction from commoners regularly ennobled able commoners who had served as generals and officials. Frenchroyal officials with authority over colonies spoke about the superiority of “French blood” but also advocated assimilation, through whichindigenous peoples would “become French.” Catholic authorities in colonial areas limited entrance to certain convents to “pureblooded” whiteor native women, thus excluding mixed-race people, but were more willing to allow a light-skinned mixed-race person than a “fullblooded”native marry a white person. Such contradictions did not generally lessen people’s convictions about racial, social, or religious hierarchies,however.</w:t>
      </w:r>
    </w:p>
    <w:p w14:paraId="071D74C3"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Religion was also initially a marker of difference in colonial areas outside Europe, where the spread of Christianity was used as ajustification for conquest and enslavement. As indigenous peoples converted, however, religion became less useful as a means ofdifferentiation, and skin color became more important. Virginia laws regarding sexual relations, for example, distinguished between“christian” and “negroe” in 1662, but by 1691 between “white” men and women and those who were “negroe, mulatto, or Indian.” In its use of“white” Virginia picked up language first used in a 1661 census in the British West Indies, and later this language spread throughout theBritish colonies. Other color designations came later, and in the eighteenth century, European natural scientists seeking to develop one singlesystem that would explain human differences settled on the concept of “race” to describe these. They first differentiated “races” by continentof origin Americanus, Europaeus, Asiaticus, and Africanus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and then by somewhat different geographic areas. (The word “Caucasian” wasfirst used by the German anatomist and naturalist Johann Friedrich Blumenbach (17521840) to describe light-skinned people of Europe andwestern Asia because he thought that the Caucasus mountains on the border between Russia and Georgia were most likely their originalhome. He thought that they were the first humans, and the most attractive, a judgment he made through studying a large collection of skulls,not by looking at live people.)</w:t>
      </w:r>
    </w:p>
    <w:p w14:paraId="101505FB"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impact of notions about blood and race, and of the spread of germs, can be seen very clearly in the Spanish and Portuguese colonies ofthe New World. Historians estimate that the indigenous population decreased dramatically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by about 90 percent in the sixteenth century inCentral America, for example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at the same time that there was large-scale immigration from Europe and the importation of huge numbers ofslaves from Africa. Originally the Spanish and Portuguese Crowns hoped to keep all these groups apart, but the shortage of European andAfrican women made this impossible, and there were sexual relationships across many lines. As sexual relations produced children that didnot fit into the existing categories of Indian and Spaniard, the response of colonial authorities was to create an ever more complex system ofcategories, called </w:t>
      </w:r>
      <w:r w:rsidRPr="00EC425E">
        <w:rPr>
          <w:rFonts w:ascii="inherit" w:eastAsia="Times New Roman" w:hAnsi="inherit" w:cs="Times New Roman"/>
          <w:i/>
          <w:iCs/>
          <w:color w:val="000000"/>
          <w:sz w:val="24"/>
          <w:szCs w:val="24"/>
          <w:bdr w:val="none" w:sz="0" w:space="0" w:color="auto" w:frame="1"/>
        </w:rPr>
        <w:t>castas,</w:t>
      </w:r>
      <w:r w:rsidRPr="00EC425E">
        <w:rPr>
          <w:rFonts w:ascii="Cambria" w:eastAsia="Times New Roman" w:hAnsi="Cambria" w:cs="Times New Roman"/>
          <w:color w:val="000000"/>
          <w:sz w:val="24"/>
          <w:szCs w:val="24"/>
        </w:rPr>
        <w:t> for persons of mixed ancestry. About one-quarter of the population of Latin America was of mixed ancestry by theend of the eighteenth century, and in urban areas the number was much higher.</w:t>
      </w:r>
    </w:p>
    <w:p w14:paraId="119316F3"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lastRenderedPageBreak/>
        <w:t>The Catholic Church and Spanish and Portuguese officials defined as many as 40 different castas that were in theory based on place ofbirth, assumed geographic origin, and status of one’s father and mother, with a specific name for each one. The various castas and therelationships among them were clearly delineated in treatises and by the eighteenth century in paintings that showed scenes of parents ofdifferent castas and the children such parents produced: </w:t>
      </w:r>
      <w:r w:rsidRPr="00EC425E">
        <w:rPr>
          <w:rFonts w:ascii="inherit" w:eastAsia="Times New Roman" w:hAnsi="inherit" w:cs="Times New Roman"/>
          <w:i/>
          <w:iCs/>
          <w:color w:val="000000"/>
          <w:sz w:val="24"/>
          <w:szCs w:val="24"/>
          <w:bdr w:val="none" w:sz="0" w:space="0" w:color="auto" w:frame="1"/>
        </w:rPr>
        <w:t>India</w:t>
      </w:r>
      <w:r w:rsidRPr="00EC425E">
        <w:rPr>
          <w:rFonts w:ascii="Cambria" w:eastAsia="Times New Roman" w:hAnsi="Cambria" w:cs="Times New Roman"/>
          <w:color w:val="000000"/>
          <w:sz w:val="24"/>
          <w:szCs w:val="24"/>
        </w:rPr>
        <w:t> + Spaniard = </w:t>
      </w:r>
      <w:r w:rsidRPr="00EC425E">
        <w:rPr>
          <w:rFonts w:ascii="inherit" w:eastAsia="Times New Roman" w:hAnsi="inherit" w:cs="Times New Roman"/>
          <w:i/>
          <w:iCs/>
          <w:color w:val="000000"/>
          <w:sz w:val="24"/>
          <w:szCs w:val="24"/>
          <w:bdr w:val="none" w:sz="0" w:space="0" w:color="auto" w:frame="1"/>
        </w:rPr>
        <w:t>Mestizo</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India + Negro = Lobo;</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Chamiza + Cambuza = Chino</w:t>
      </w:r>
      <w:r w:rsidRPr="00EC425E">
        <w:rPr>
          <w:rFonts w:ascii="Cambria" w:eastAsia="Times New Roman" w:hAnsi="Cambria" w:cs="Times New Roman"/>
          <w:color w:val="000000"/>
          <w:sz w:val="24"/>
          <w:szCs w:val="24"/>
        </w:rPr>
        <w:t>, and soon. (The illustration on the cover of this book is one of these casta paintings.) Some of these castas had fanciful names, or ones derived fromanimals, such as </w:t>
      </w:r>
      <w:r w:rsidRPr="00EC425E">
        <w:rPr>
          <w:rFonts w:ascii="inherit" w:eastAsia="Times New Roman" w:hAnsi="inherit" w:cs="Times New Roman"/>
          <w:i/>
          <w:iCs/>
          <w:color w:val="000000"/>
          <w:sz w:val="24"/>
          <w:szCs w:val="24"/>
          <w:bdr w:val="none" w:sz="0" w:space="0" w:color="auto" w:frame="1"/>
        </w:rPr>
        <w:t>coyote</w:t>
      </w:r>
      <w:r w:rsidRPr="00EC425E">
        <w:rPr>
          <w:rFonts w:ascii="Cambria" w:eastAsia="Times New Roman" w:hAnsi="Cambria" w:cs="Times New Roman"/>
          <w:color w:val="000000"/>
          <w:sz w:val="24"/>
          <w:szCs w:val="24"/>
        </w:rPr>
        <w:t> or </w:t>
      </w:r>
      <w:r w:rsidRPr="00EC425E">
        <w:rPr>
          <w:rFonts w:ascii="inherit" w:eastAsia="Times New Roman" w:hAnsi="inherit" w:cs="Times New Roman"/>
          <w:i/>
          <w:iCs/>
          <w:color w:val="000000"/>
          <w:sz w:val="24"/>
          <w:szCs w:val="24"/>
          <w:bdr w:val="none" w:sz="0" w:space="0" w:color="auto" w:frame="1"/>
        </w:rPr>
        <w:t>lobo</w:t>
      </w:r>
      <w:r w:rsidRPr="00EC425E">
        <w:rPr>
          <w:rFonts w:ascii="Cambria" w:eastAsia="Times New Roman" w:hAnsi="Cambria" w:cs="Times New Roman"/>
          <w:color w:val="000000"/>
          <w:sz w:val="24"/>
          <w:szCs w:val="24"/>
        </w:rPr>
        <w:t> (wolf). The casta system built on earlier Iberian notions of “purity of blood,” in which descendants of Muslimand Jewish converts to Christianity were viewed as tainted, because their religious allegiance was carried in their blood. In the LatinAmerican colonies, people of indigenous and African ancestry both had lower rank than did Europeans, with blood that was viewed as lesspure. New laws passed after 1763 in the French Caribbean colonies set out a similar system, with various categories based on the supposedorigin of one’s ancestors.</w:t>
      </w:r>
    </w:p>
    <w:p w14:paraId="52E4148F"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Determining the proper casta in which to place actual people was not as easy as setting these out in theory, however, for the treatises andpaintings were attempts to impose order on a confused and fluid system, not a description of reality. In practice, the category in which onewas placed was to a large extent determined by how one looked, with lighter-skinned mixedancestry persons often accorded a higher rankthan darker, even if they were siblings. Many historians have thus termed the social structure that developed in colonial Spanish andPortuguese America, including the Caribbean (and later in the French Caribbean), a “pigmentocracy” based largely on skin color, but also onfacial features and hair texture. Contemporaries always claimed that color was linked to honor, virtue, and family, however, so that one’s socialstatus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termed </w:t>
      </w:r>
      <w:r w:rsidRPr="00EC425E">
        <w:rPr>
          <w:rFonts w:ascii="inherit" w:eastAsia="Times New Roman" w:hAnsi="inherit" w:cs="Times New Roman"/>
          <w:i/>
          <w:iCs/>
          <w:color w:val="000000"/>
          <w:sz w:val="24"/>
          <w:szCs w:val="24"/>
          <w:bdr w:val="none" w:sz="0" w:space="0" w:color="auto" w:frame="1"/>
        </w:rPr>
        <w:t>calidad</w:t>
      </w:r>
      <w:r w:rsidRPr="00EC425E">
        <w:rPr>
          <w:rFonts w:ascii="Cambria" w:eastAsia="Times New Roman" w:hAnsi="Cambria" w:cs="Times New Roman"/>
          <w:color w:val="000000"/>
          <w:sz w:val="24"/>
          <w:szCs w:val="24"/>
        </w:rPr>
        <w:t>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involved a moral as well as physical judgment, but in reality, as intermarriage increased, people passed quite easilyfrom one casta to another.</w:t>
      </w:r>
    </w:p>
    <w:p w14:paraId="12F59934"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precarious balance of moral, physical, and class judgments used in determining status also frequently shifted over time. Since one’sability to marry or inherit, enter a convent or the priesthood, or attend university relied on official determination of ancestral purity,individuals not only passed as members of a higher group, but also sought to officially “whiten” their social status in order to obtain privilegesin society. In many areas families of property and status bought licenses to be considered descendants of Europeans, regardless of theirparticular ethnic appearance and ancestry. In frontier areas of Spanish America, or during times of political and social transitions, familymembers classified their children as “Spanish” or “Castellano (Castilian)” on baptismal records, often in open defiance of the presidingpriest’s observations about the actual appearance of the child. In addition, individuals might define themselves, or be defined, as belonging todifferent categories at different points in their life, in what scholars have called a “racial drift” toward whiteness. Thus the hierarchy becameincreasingly confused and arbitrary over generations.</w:t>
      </w:r>
    </w:p>
    <w:p w14:paraId="73031EE7"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granting of honorary whiteness and the difficulty of assigning people to castas points out just how subjective this entire system was,but it was the essential determinant of family life and gender norms in Latin America. For members of the white European elite, the concernabout bloodlines and color created a pattern of intermarriage within the extended family, with older women identifying the distant cousinsthat were favored as spouses. Following the southern European pattern, these marriages were often between an older man and yo</w:t>
      </w:r>
      <w:r w:rsidRPr="00EC425E">
        <w:rPr>
          <w:rFonts w:ascii="Cambria" w:eastAsia="Times New Roman" w:hAnsi="Cambria" w:cs="Times New Roman"/>
          <w:color w:val="000000"/>
          <w:sz w:val="24"/>
          <w:szCs w:val="24"/>
        </w:rPr>
        <w:lastRenderedPageBreak/>
        <w:t>ungerwoman, which limited the number of potential spouses for women, and many never married; in the Portuguese colony of Bahia, for example,only 14 percent of the daughters of leading families married in the seventeenth century. Rural native people also married most often withintheir own group, with the extended family exerting control over choice of spouses just as it did for elite whites. For slaves, many persons ofmixed race, and poor people of all types, family and property considerations did not enter into marital considerations, and in most casespeople simply did not get married at all, though in many cases they did establish long-term unions regarded by their neighbors and friends asstable.</w:t>
      </w:r>
    </w:p>
    <w:p w14:paraId="59C57AE7"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number of births out of wedlock in Latin America remained startlingly high by comparison with most of Europe (although Spain didhave the highest rate of out-of-wedlock births in Europe). During the period from 1640 to 1700 in Central Mexico, one-third of the births towhite women were out of wedlock, along with two-thirds of those of mixed-race individuals. Both Spanish and Portuguese law madedistinctions among varieties of illegitimacy, according children of parents who could have been married but were not more inheritance rightsthan those of parents who could not have married, such as priests’ children or those born in adulterous relationships. Thus, despite Christiannorms, families in Latin America were extremely diverse: elite men married, but they often had children by slaves or servants who were alsopart of their household; poor free people did not marry, but might live in stable nuclear households; slave unions were often temporary, andthe children stayed with their mothers or became the property of their mother’s owners.</w:t>
      </w:r>
    </w:p>
    <w:p w14:paraId="0808DAD8"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This diversity was also found elsewhere in the colonial world, with racial hierarchies and notions of gender intersecting in complex ways toshape family life. In some areas, such as the French and British colonies of North America, Africa, and Asia, marriages or other long-termunions between Europeans and indigenous peoples were much rarer than they were in Latin America, and in many places legally prohibited;the 1691 law in Virginia forbade marriage between an “English or other white man or woman” and a “negroe, mulatto, or Indian man orwoman.” Though such laws were usually gender-neutral, what lawmakers were most worried about was, as the preamble to the Virginia lawstates: “negroes, mulattoes, and Indians intermarrying with English, or other white women” and the resultant “abominable mixture andspurious issue.” Such laws were passed in all of the southern states and also Pennsylvania and Massachusetts between 1700 and 1750; theywere struck down by the US Supreme Court in 1967, but remained on the books in some states for decades after that. The last of such“miscegenation” laws was rescinded by Alabama voters in a statewide referendum in 2000. In contrast to a hierarchy of castas, the BritishNorth American colonies and later the United States developed a dichotomous racial system, in which one drop of “black blood” made oneblack.</w:t>
      </w:r>
    </w:p>
    <w:p w14:paraId="56C04BA9"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Whether hierarchical or dichotomous, racial systems were not simply a matter of ideas or discourse. Unmarried white women who boremixed-race children were more harshly treated than those who bore white children, while pregnancy out of wedlock was often ignored oreven encouraged among nonwhite women, particularly if they were slaves or other types of dependents whose children would becomeworkers; men’s fathering mixedrace children with nonwhite women was tolerated or even expecte</w:t>
      </w:r>
      <w:r w:rsidRPr="00EC425E">
        <w:rPr>
          <w:rFonts w:ascii="Cambria" w:eastAsia="Times New Roman" w:hAnsi="Cambria" w:cs="Times New Roman"/>
          <w:color w:val="000000"/>
          <w:sz w:val="24"/>
          <w:szCs w:val="24"/>
        </w:rPr>
        <w:lastRenderedPageBreak/>
        <w:t>d. In the British North American coloniesand later the United States, rape of a white woman by a black man could lead to castration. European women who married indigenous menlost their legal status as “European” in many colonies, while men who married indigenous women did not. (A similar disparity became part ofthe citizenship laws of many countries well into the twentieth century; even today in some countries a woman automatically loses hercitizenship on marrying a foreign national, while a man does not.) It may be easy for us to see the socially constructed nature of certaincategories, particularly those that are readily changeable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Does one’s blood become Protestant if one converts? Or one’s skin tone change ifone gets a license of whiteness?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and most scholars who study the human species as a whole, such as biologists and anthropologists, view“race” as completely socially constructed as well. They avoid using it, as it has no scientific meaning. People in the colonial world, however,regarded racial, national, and to some degree class and religious boundaries as real despite their malleability, and as undergirded by evenmore fundamental boundaries, such as those between “godly” and “ungodly” or between “natural” and “unnatural.”</w:t>
      </w:r>
    </w:p>
    <w:p w14:paraId="2A237F44"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Until the middle of the nineteenth century, of course, most people of African descent in North America were slaves, and only in NewEngland were marriages between slaves legally recognized. In contrast to Islamic law, laws in the North American colonies declared that thechildren of slave women would be slaves, reversing the normal English practice, in which legal status followed the father. White men’sfathering of mixed-race children was not recognized legally and rarely spoken about publicly in polite society, though men occasionally madeprivate arrangements for their children by slave women, just as men occasionally did in European households when they fathered children byservants or slaves. More often they did not, though sexual relations between masters and and slaves were so common over generations thatby the nineteenth century a large part of the North American slave population was mixed-race.</w:t>
      </w:r>
    </w:p>
    <w:p w14:paraId="2ED62A9F"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As in Latin America, the family structures that developed in North America in the eighteenth and nineteenth centuries were thus class- andrace-related. White families, especially in the north, tended to follow the northwestern European model, with late marriage and a highproportion of people who never married, while black families were more fluid, and often matrifocal. Government policy toward NativeAmericans, which removed them from their original homelands and ordered them to live on reservations, disrupted family life along withevery other aspect of indigenous society, though extended kin groups retained some voice wherever they could.</w:t>
      </w:r>
    </w:p>
    <w:p w14:paraId="692DE436"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European colonies in Africa and Asia generally developed later than those in the Americas, and in many places European rule did notdisrupt existing family patterns to a great extent, and they continued to be shaped by religious ideals and existing traditions. European menengaged in sexual relations with indigenous women, but did not regard these as marriage (though they might be viewed by local cultures astemporary marriages). Once more white women moved to the colonies, long-term interracial relationships became less common as theEuropean communities worried about mixed-race children and what they termed “racial survival.”</w:t>
      </w:r>
    </w:p>
    <w:p w14:paraId="2098CC47"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lastRenderedPageBreak/>
        <w:t>The growth in mining and commercial agriculture for export in colonial areas during the nineteenth and early twentieth centuries led manymen to leave their families for years at a time in search of wage labor, with women at home in the villages engaged in subsistence agricultureand caring for children and the elderly. Thus, like slavery, wage labor in areas that produced raw materials led to matrifocal family patterns,with closer relationships between mothers and children than between spouses. In some areas, such as parts of Africa, migratory wage laboroccurred in areas in which inheritance patterns had been matrilineal or bilateral, but European colonial authorities did not understand thesesystems. They imposed their own patrilineal system when deciding about rights to property, and the fact that men were away made Europeanexpropriation of land easier, as did conflicts between matrilineal and patrilineal inheritance systems. This often led to a sharp contradictionbetween theory and practice regarding family structure and power relationships, with men the official and legal heads of families but womenactually responsible for the family’s day-to-day well-being. Women thus experienced what some scholars have termed a “dual patriarchy” ofcolonial officials and the men of their families, and some resisted. Many women in colonial Gusiiland in Kenya, for example, left their ruralhomes for the city or defended traditional marriage patterns, with bridewealth and matrilineal inheritance, in local courts.</w:t>
      </w:r>
    </w:p>
    <w:p w14:paraId="20E17F69" w14:textId="77777777" w:rsidR="00EC425E" w:rsidRPr="00EC425E" w:rsidRDefault="00EC425E" w:rsidP="00EC425E">
      <w:pPr>
        <w:numPr>
          <w:ilvl w:val="0"/>
          <w:numId w:val="15"/>
        </w:numPr>
        <w:spacing w:after="0" w:line="270" w:lineRule="atLeast"/>
        <w:ind w:left="0"/>
        <w:rPr>
          <w:rFonts w:ascii="inherit" w:eastAsia="Times New Roman" w:hAnsi="inherit" w:cs="Times New Roman"/>
          <w:color w:val="808080"/>
          <w:sz w:val="20"/>
          <w:szCs w:val="20"/>
        </w:rPr>
      </w:pPr>
      <w:hyperlink r:id="rId54" w:history="1">
        <w:r w:rsidRPr="00EC425E">
          <w:rPr>
            <w:rFonts w:ascii="inherit" w:eastAsia="Times New Roman" w:hAnsi="inherit" w:cs="Times New Roman"/>
            <w:color w:val="0069D6"/>
            <w:sz w:val="20"/>
            <w:szCs w:val="20"/>
            <w:u w:val="single"/>
            <w:bdr w:val="none" w:sz="0" w:space="0" w:color="auto" w:frame="1"/>
          </w:rPr>
          <w:t>Notebook</w:t>
        </w:r>
      </w:hyperlink>
    </w:p>
    <w:p w14:paraId="03946E92" w14:textId="77777777" w:rsidR="00EC425E" w:rsidRPr="00EC425E" w:rsidRDefault="00EC425E" w:rsidP="00EC425E">
      <w:pPr>
        <w:numPr>
          <w:ilvl w:val="0"/>
          <w:numId w:val="16"/>
        </w:numPr>
        <w:spacing w:after="0" w:line="270" w:lineRule="atLeast"/>
        <w:ind w:left="0"/>
        <w:rPr>
          <w:rFonts w:ascii="inherit" w:eastAsia="Times New Roman" w:hAnsi="inherit" w:cs="Times New Roman"/>
          <w:color w:val="808080"/>
          <w:sz w:val="20"/>
          <w:szCs w:val="20"/>
        </w:rPr>
      </w:pPr>
      <w:hyperlink r:id="rId55" w:history="1">
        <w:r w:rsidRPr="00EC425E">
          <w:rPr>
            <w:rFonts w:ascii="inherit" w:eastAsia="Times New Roman" w:hAnsi="inherit" w:cs="Times New Roman"/>
            <w:color w:val="0069D6"/>
            <w:sz w:val="20"/>
            <w:szCs w:val="20"/>
            <w:u w:val="single"/>
            <w:bdr w:val="none" w:sz="0" w:space="0" w:color="auto" w:frame="1"/>
          </w:rPr>
          <w:t>My Bookshelf</w:t>
        </w:r>
      </w:hyperlink>
    </w:p>
    <w:p w14:paraId="706282DF" w14:textId="77777777" w:rsidR="00EC425E" w:rsidRPr="00EC425E" w:rsidRDefault="00EC425E" w:rsidP="00EC425E">
      <w:pPr>
        <w:numPr>
          <w:ilvl w:val="0"/>
          <w:numId w:val="16"/>
        </w:numPr>
        <w:spacing w:after="0" w:line="270" w:lineRule="atLeast"/>
        <w:ind w:left="0"/>
        <w:rPr>
          <w:rFonts w:ascii="inherit" w:eastAsia="Times New Roman" w:hAnsi="inherit" w:cs="Times New Roman"/>
          <w:color w:val="808080"/>
          <w:sz w:val="20"/>
          <w:szCs w:val="20"/>
        </w:rPr>
      </w:pPr>
      <w:hyperlink r:id="rId5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0E4388D2" w14:textId="77777777" w:rsidR="00EC425E" w:rsidRPr="00EC425E" w:rsidRDefault="00EC425E" w:rsidP="00EC425E">
      <w:pPr>
        <w:numPr>
          <w:ilvl w:val="0"/>
          <w:numId w:val="17"/>
        </w:numPr>
        <w:spacing w:after="0" w:line="270" w:lineRule="atLeast"/>
        <w:ind w:left="0"/>
        <w:rPr>
          <w:rFonts w:ascii="inherit" w:eastAsia="Times New Roman" w:hAnsi="inherit" w:cs="Times New Roman"/>
          <w:color w:val="808080"/>
          <w:sz w:val="20"/>
          <w:szCs w:val="20"/>
        </w:rPr>
      </w:pPr>
      <w:hyperlink r:id="rId5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4FE491AB" w14:textId="77777777" w:rsidR="00EC425E" w:rsidRPr="00EC425E" w:rsidRDefault="00EC425E" w:rsidP="00EC425E">
      <w:pPr>
        <w:numPr>
          <w:ilvl w:val="0"/>
          <w:numId w:val="17"/>
        </w:numPr>
        <w:spacing w:after="0" w:line="270" w:lineRule="atLeast"/>
        <w:ind w:left="0"/>
        <w:rPr>
          <w:rFonts w:ascii="inherit" w:eastAsia="Times New Roman" w:hAnsi="inherit" w:cs="Times New Roman"/>
          <w:color w:val="808080"/>
          <w:sz w:val="20"/>
          <w:szCs w:val="20"/>
        </w:rPr>
      </w:pPr>
      <w:hyperlink r:id="rId58" w:history="1">
        <w:r w:rsidRPr="00EC425E">
          <w:rPr>
            <w:rFonts w:ascii="inherit" w:eastAsia="Times New Roman" w:hAnsi="inherit" w:cs="Times New Roman"/>
            <w:color w:val="0069D6"/>
            <w:sz w:val="20"/>
            <w:szCs w:val="20"/>
            <w:u w:val="single"/>
            <w:bdr w:val="none" w:sz="0" w:space="0" w:color="auto" w:frame="1"/>
          </w:rPr>
          <w:t>Print</w:t>
        </w:r>
      </w:hyperlink>
    </w:p>
    <w:p w14:paraId="0EB51B80" w14:textId="77777777" w:rsidR="00EC425E" w:rsidRPr="00EC425E" w:rsidRDefault="00EC425E" w:rsidP="00EC425E">
      <w:pPr>
        <w:numPr>
          <w:ilvl w:val="0"/>
          <w:numId w:val="17"/>
        </w:numPr>
        <w:spacing w:after="0" w:line="270" w:lineRule="atLeast"/>
        <w:ind w:left="0"/>
        <w:rPr>
          <w:rFonts w:ascii="inherit" w:eastAsia="Times New Roman" w:hAnsi="inherit" w:cs="Times New Roman"/>
          <w:color w:val="808080"/>
          <w:sz w:val="20"/>
          <w:szCs w:val="20"/>
        </w:rPr>
      </w:pPr>
      <w:hyperlink r:id="rId59" w:anchor="search" w:history="1">
        <w:r w:rsidRPr="00EC425E">
          <w:rPr>
            <w:rFonts w:ascii="inherit" w:eastAsia="Times New Roman" w:hAnsi="inherit" w:cs="Times New Roman"/>
            <w:color w:val="0069D6"/>
            <w:sz w:val="20"/>
            <w:szCs w:val="20"/>
            <w:u w:val="single"/>
            <w:bdr w:val="none" w:sz="0" w:space="0" w:color="auto" w:frame="1"/>
          </w:rPr>
          <w:t>Search</w:t>
        </w:r>
      </w:hyperlink>
    </w:p>
    <w:p w14:paraId="54ECB0D3" w14:textId="77777777" w:rsidR="00EC425E" w:rsidRPr="00EC425E" w:rsidRDefault="00EC425E" w:rsidP="00EC425E">
      <w:pPr>
        <w:numPr>
          <w:ilvl w:val="0"/>
          <w:numId w:val="17"/>
        </w:numPr>
        <w:spacing w:after="0" w:line="270" w:lineRule="atLeast"/>
        <w:ind w:left="75"/>
        <w:rPr>
          <w:rFonts w:ascii="inherit" w:eastAsia="Times New Roman" w:hAnsi="inherit" w:cs="Times New Roman"/>
          <w:color w:val="808080"/>
          <w:sz w:val="20"/>
          <w:szCs w:val="20"/>
        </w:rPr>
      </w:pPr>
      <w:hyperlink r:id="rId6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174878C1" w14:textId="77777777" w:rsidR="00EC425E" w:rsidRPr="00EC425E" w:rsidRDefault="00EC425E" w:rsidP="00EC425E">
      <w:pPr>
        <w:numPr>
          <w:ilvl w:val="0"/>
          <w:numId w:val="17"/>
        </w:numPr>
        <w:spacing w:after="0" w:line="270" w:lineRule="atLeast"/>
        <w:ind w:left="30"/>
        <w:rPr>
          <w:rFonts w:ascii="inherit" w:eastAsia="Times New Roman" w:hAnsi="inherit" w:cs="Times New Roman"/>
          <w:color w:val="808080"/>
          <w:sz w:val="20"/>
          <w:szCs w:val="20"/>
        </w:rPr>
      </w:pPr>
      <w:hyperlink r:id="rId61" w:anchor="help" w:history="1">
        <w:r w:rsidRPr="00EC425E">
          <w:rPr>
            <w:rFonts w:ascii="inherit" w:eastAsia="Times New Roman" w:hAnsi="inherit" w:cs="Times New Roman"/>
            <w:color w:val="0069D6"/>
            <w:sz w:val="20"/>
            <w:szCs w:val="20"/>
            <w:u w:val="single"/>
            <w:bdr w:val="none" w:sz="0" w:space="0" w:color="auto" w:frame="1"/>
          </w:rPr>
          <w:t>Help</w:t>
        </w:r>
      </w:hyperlink>
    </w:p>
    <w:p w14:paraId="524D3F61"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2.6 The Industrial and Postindustrial Wo…</w:t>
      </w:r>
    </w:p>
    <w:p w14:paraId="78856013"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6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2FC3B210"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6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0192DEB7" w14:textId="77777777" w:rsidR="00EC425E" w:rsidRPr="00EC425E" w:rsidRDefault="00EC425E" w:rsidP="00EC425E">
      <w:pPr>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2.6 The Industrial and Postindustrial World (1800–2010)</w:t>
      </w:r>
    </w:p>
    <w:p w14:paraId="7A76D038"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A contradiction between theory and practice in terms of the family was found not only in the colonies during the nineteenth century, but inthe colonizing countries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often termed the “metropole”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and in other European and European-background countries as well. As we willdiscuss in greater detail in chapter 3, the growth of industrialism brought new forms of work organization that had a significant effect onfamily life. Young women were often the first to be hired as factories opened, for they were viewed as more compliant, willing to take lowerwages, and better able to carry out the repetitive tasks of tending machines. Factory work removed young women from their parentalhouseholds, however, and could lead to a lessening of paternal authority once the women had their own wages. Politicians and socialcommentators debated the merits of this, and suggested that factory owners establish dormitories for their workers and act as substitutefathers, r</w:t>
      </w:r>
      <w:r w:rsidRPr="00EC425E">
        <w:rPr>
          <w:rFonts w:ascii="Cambria" w:eastAsia="Times New Roman" w:hAnsi="Cambria" w:cs="Times New Roman"/>
          <w:color w:val="000000"/>
          <w:sz w:val="24"/>
          <w:szCs w:val="24"/>
        </w:rPr>
        <w:lastRenderedPageBreak/>
        <w:t>estricting women’s leisure-time activities and socializing habits. They further recommended that, whenever possible, women workin sex-segregated workshops or at home, so that their (and their family’s) honor was not threatened by contact with men who were not theirrelatives, and that women’s wages stay low, so that they did not become too independent. Young women were encouraged to give most or allof their wages to their families, and married women encouraged to avoid work outside the household and to make their homes a “haven inthe heartless world” of industrialism and business. (This advice was bolstered by the fact that until the mid-nineteenth century, the wages ofmarried women in European countries belonged legally to their husbands.)</w:t>
      </w:r>
    </w:p>
    <w:p w14:paraId="3B1EE7F6"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Social reformers and the labor organizations that developed in the nineteenth century had a different goal for men’s wages, but one thatwas also related to family life; they increasingly advocated a “family wage,” that is, wages high enough to allow married male workers tosupport their families so that their wives could concentrate on domestic tasks. Both middle- and working-class male leaders emphasized thepropriety of a distinction between the “private” world of home and family and the “public” world of work and politics. Europeans andAmericans often criticized the societies they were colonizing for requiring women to be secluded in the home, but at the same time theycreated a stronger ideal of domesticity for women at home. This ideal included an intense emphasis on the importance of children and themother-child bond, another family trait often found in the very cultures Europeans regarded as backward and barbaric. (We will look moreclosely at such ideals in chapter 4.)</w:t>
      </w:r>
    </w:p>
    <w:p w14:paraId="2BB591E0"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economic realities of industrialism created further ironies. At the same time that European and European-background societies wereputting greater emphasis on children (some historians have dubbed this the “discovery of childhood”), white children were hired in factoriesand mines in increasing numbers at very young ages, and black children in areas with plantation slavery worked in the fields or household assoon as they were able. Men’s wages were rarely enough to support a family, but women’s wages were so low in the jobs available to themthat the labor of children was needed to allow working-class families to survive.</w:t>
      </w:r>
    </w:p>
    <w:p w14:paraId="6FA9F91E"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Children were also a burden on those families, however, requiring food long before they could work, and the demand for contraceptiongrew. The same leaders who described the family as a private haven viewed birth control as a highly public issue, however, passing laws suchas the Comstock Laws in the United States that prohibited the distribution of birth control devices, and arresting those, such as Marie Stopesin England and Margaret Sanger in the United States, who disseminated birth control information, especially when this was to working- orlower-class women. Religious authorities also made pronouncements on this issue; Pope Pius IX, for example, declared in 1869 that the fetusacquires a soul at conception rather than at quickening, which had been the standard opinion before that point. (Quickening is the point whena mother feels movement, usually about the third or fourth month; the word “quick” is an old word for alive, as in the phrase “the quick andthe dead.”) Any postconception methods </w:t>
      </w:r>
      <w:r w:rsidRPr="00EC425E">
        <w:rPr>
          <w:rFonts w:ascii="Cambria" w:eastAsia="Times New Roman" w:hAnsi="Cambria" w:cs="Times New Roman"/>
          <w:color w:val="000000"/>
          <w:sz w:val="24"/>
          <w:szCs w:val="24"/>
        </w:rPr>
        <w:lastRenderedPageBreak/>
        <w:t>of contraception would thus be considered abortion, whereas until this point they had been viewedas contraception, a lesser sin.</w:t>
      </w:r>
    </w:p>
    <w:p w14:paraId="66C6DD5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Governments intervened in family life in the twentieth century far more than they had earlier, with the most extreme examples intotalitarian regimes. In Germany, Italy, and Japan in the 1930s, birth control was prohibited and large families were rewarded among groupsjudged to be desirable; those judged undesirable were sterilized or executed. (Sterilization of “undesirables” also occurred in the UnitedStates from the 1930s to at least the 1970s.) All three of these countries mounted propaganda campaigns setting out their view of the idealfamily, which was one in which fathers ruled and wives and children obeyed. In the Soviet Union right after World War II, the governmentencouraged population growth by limiting access to all contraception; even after the desire for more people abated, birth control pills neverbecame widely available, so that abortion became the standard means of birth control for most women, a practice that has continued inpostSoviet Russia.</w:t>
      </w:r>
    </w:p>
    <w:p w14:paraId="76258281"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Most governments in the twentieth century sought to limit population growth rather than encourage it, in response to explosive populationgrowth that began in the late nineteenth century. (World population in 1850 was about 1.2 billion, and in 2008 6.7 billion.) This growth waslargely the result of medical advances such as vaccinations that lowered the death rate among children dramatically; in the Arab world, forexample, only one out of four children survived to age 50 in 1900, but by 2000 three out of four survived. In India, Puerto Rico, and elsewherethe government encouraged or condoned widespread sterilization, while in China families who had more than one child were penalized byfines and the loss of access to opportunities. Though governments which introduced strict population policies tried to minimize genderdifferences in their effects, the value put on male children was still higher than that on female, which led in some countries to selective femaleinfanticide, abortion of female fetuses, and better care and nutrition for infant boys. Government campaigns at the end of the twentiethcentury in China tried to end such practices, and observers noted that girls may become more desirable in the future because selectiveabortion has made them scarcer than boys.</w:t>
      </w:r>
    </w:p>
    <w:p w14:paraId="180C8866"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By the early twenty-first century, the one-child policy had been so effective in China that officials, worried about the graying of thepopulation, granted exemptions in some areas to rural people, ethnic minorities, and parents who had no siblings. Because of the one-childpolicy, the latter group is now quite large, but the expenses of a second child and continued official support for the one-child policy mean thatfew couples choose to have a second.</w:t>
      </w:r>
    </w:p>
    <w:p w14:paraId="33D97C8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Other than in China, government campaigns to curtail family size in the twentieth century were uneven in their effects. Cultural andpolitical changes were more important. Birth control became culturally acceptable, more reliable, and more widely available in Europe, NorthAmerica, Japan, and Australia by the 1960s, and families grew smaller. By the 1980s disputes about reproductive control in these areasrevolved largely around moral issues relating to abortion and medically assisted reproductive techniques such as in-vitro fertilization,surrogate motherhood, and genetic testing, not about birth control itself. </w:t>
      </w:r>
      <w:r w:rsidRPr="00EC425E">
        <w:rPr>
          <w:rFonts w:ascii="Cambria" w:eastAsia="Times New Roman" w:hAnsi="Cambria" w:cs="Times New Roman"/>
          <w:color w:val="000000"/>
          <w:sz w:val="24"/>
          <w:szCs w:val="24"/>
        </w:rPr>
        <w:lastRenderedPageBreak/>
        <w:t>The expansion of government systems of social support also led tosmaller families because people did not have to rely on their children for support in old age.</w:t>
      </w:r>
    </w:p>
    <w:p w14:paraId="398A5DB2"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Coercive government measures provoked strong resistance in many parts of the developing world from both religious and women’sorganizations, and toward the end of the century aid agencies recognized that a more effective means of decreasing the birth rate was toincrease the level of basic and technical education for girls and women, while providing small loans for sewing machines, farm flocks, or evencellular phones so that women could gain economic independence. Both lower birth rates and education for girls were opposed in some partsof the world for much of the twentieth century by traditional and colonial authorities, for they regarded women’s proper role as tied to thehousehold. By the the end of the century, however, worldwide fertility had been lowered, from 4.97 births per woman in 1950 to 2.80 in 2000,with sterilization the most common form of birth control.</w:t>
      </w:r>
    </w:p>
    <w:p w14:paraId="0C3940AC"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Fertility rates have continued to decline in the early twenty-first century. In 2008, the worldwide fertility rate was 2.61, with Singaporehaving the lowest birth rate (1.08) and Mali the highest (7.4). Most countries in western and eastern Europe, Russia, Japan, South Korea, andmany other countries now have fertility rates below replacement levels, although only in a few of these has the population actually begun todecline. (Immigration and population momentum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the fact that a large share of the population is in childbearing years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balance out fertilitydecline in most countries.) France and some other countries have adopted policies to encourage couples to have more children, such aspayments for working parents and better childcare provisions. There are some signs that these are having a small effect, but the increasedcost of living, especially in cities where most of the world’s population now lives, women’s participation in the paid labor force, and the socialacceptability of small families mean that low fertility rates will no doubt continue.</w:t>
      </w:r>
    </w:p>
    <w:p w14:paraId="0B72B325"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Families in many parts of the world not only saw first more and then fewer births in the twentieth century than they had earlier, but theyalso changed shape and became more varied. In many parts of the world, such as Africa and the Caribbean, male mobility and the lack of goodjobs for either women or men meant that many people did not marry until quite late in life or never married at all. The pattern of matrifocalhouseholds that had developed during the nineteenth century continued, a pattern that could also be found among many African-Americanhouseholds in the United States. A similar living pattern, though under much different economic circumstances, developed in post-World WarII Japan, tied in some ways to earlier Japanese traditions. Japanese companies favored male workers, expecting them to work very long hoursand socialize together after work, sometimes in the company of geishas; women were expected to work only until they had children and thendevote themselves to their children. Thus, like many men in colonial mining or agricultural areas, men in Japan rarely saw their wives and hadlittle role in the upbringing of their children, though almost all of them continued to marry, for marriage remained a central part of Japaneseculture and was expected by Japanese companies.</w:t>
      </w:r>
    </w:p>
    <w:p w14:paraId="4A4F4FCF"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Marital patterns in many parts of Africa remained polygynous, with over half the women in western Africa in the 1980s having at least oneco-</w:t>
      </w:r>
      <w:r w:rsidRPr="00EC425E">
        <w:rPr>
          <w:rFonts w:ascii="Cambria" w:eastAsia="Times New Roman" w:hAnsi="Cambria" w:cs="Times New Roman"/>
          <w:color w:val="000000"/>
          <w:sz w:val="24"/>
          <w:szCs w:val="24"/>
        </w:rPr>
        <w:lastRenderedPageBreak/>
        <w:t>spouse. Urban marriages were increasingly likely to be monogamous, however, both because of cultural influences such as Christianity andbecause of economic change. Increased mobility brought a weakening of kinship and lineage ties, with older men having less power over bothyounger men and women than they did earlier. This allowed for greater independence in such matters as choice of spouse or job, but also leftindividuals, especially older people and women of all ages, more vulnerable because they did not have a lineage to support them economicallyor emotionally. Such vulnerability emerged particularly during times of drought and other environmental crises, and during civil and ethnicwars, all of which contributed to frequent famines and difficult decisions about how to allocate scarce resources among family members.</w:t>
      </w:r>
    </w:p>
    <w:p w14:paraId="5FB588F8"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In Japan, China, and the Arab world, more than 95 percent of people continued to marry at some point in their lives, but in other parts ofthe world, the twentieth century saw a dramatic decline in marriage rates. In both western Europe and the United States couples livedtogether but did not marry; in 1995 there were 10 times as many couples living together without marrying in Germany than there had beenin 1972. Divorce rates increased significantly in developed countries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in the United States the divorce rate in the 2000s was three times whatit had been in the 1920s, with one out of every two marriages ending in divorce </w:t>
      </w:r>
      <w:r w:rsidRPr="00EC425E">
        <w:rPr>
          <w:rFonts w:ascii="Cambria" w:eastAsia="Times New Roman" w:hAnsi="Cambria" w:cs="Times New Roman"/>
          <w:b/>
          <w:bCs/>
          <w:color w:val="000000"/>
          <w:sz w:val="24"/>
          <w:szCs w:val="24"/>
        </w:rPr>
        <w:t>–</w:t>
      </w:r>
      <w:r w:rsidRPr="00EC425E">
        <w:rPr>
          <w:rFonts w:ascii="Cambria" w:eastAsia="Times New Roman" w:hAnsi="Cambria" w:cs="Times New Roman"/>
          <w:color w:val="000000"/>
          <w:sz w:val="24"/>
          <w:szCs w:val="24"/>
        </w:rPr>
        <w:t> and were also more common elsewhere, such as the Arabicworld, where one out of every four marriage ended in divorce in the 2000s.</w:t>
      </w:r>
    </w:p>
    <w:p w14:paraId="52548AF4" w14:textId="77777777" w:rsidR="00EC425E" w:rsidRPr="00EC425E" w:rsidRDefault="00EC425E" w:rsidP="00EC425E">
      <w:pPr>
        <w:shd w:val="clear" w:color="auto" w:fill="FFFFFF"/>
        <w:spacing w:after="24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social acceptability of remarriage after divorce in many parts of the world meant that many families included the children from severaldifferent relationships, thus returning to an earlier pattern when spousal death and remarriage had created such “blended” families. To thisvariety were added households in which children were raised by their grandparents, by gay, lesbian, and transsexual couples, by adoptiveparents, by single parents, and by unmarried individuals who had no intention of marrying. In some parts of the world, marriage betweenindividuals of different races and religions became increasingly common, challenging centuries-old boundaries and definitions of who wasfamily and who was kin. This diversity of family forms was (and is) perceived by some observers as a social problem, but it is only becomingmore extensive in the early twenty-first century.</w:t>
      </w:r>
    </w:p>
    <w:p w14:paraId="10638BF5" w14:textId="77777777" w:rsidR="00EC425E" w:rsidRPr="00EC425E" w:rsidRDefault="00EC425E" w:rsidP="00EC425E">
      <w:pPr>
        <w:shd w:val="clear" w:color="auto" w:fill="FFFFFF"/>
        <w:spacing w:after="24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As we have seen in this chapter, family structure and function have always been diverse, but, given greater immigration and bettercommunications, that diversity is more widely and more intimately known and experienced now than in the past. Family and kinship are notsimply matters of genetic connections, but are culturally determined and given meaning by individuals and groups. It is clear from thischapter that gender differences have been a key part of family life throughout history, which has made them more resistant to change thangender differences in other realms of life, such as the workplace or the voting booth. Thus they often survived, and continue to survive,dramatic economic or political upheavals. In Russia, for example, women did almost all the domestic work before, during, and afterCommunism; in much of Africa, kin structures were the primary shapers of marriage during the precolonial, colonial, and postcolonial eras.Gender patterns involving the family are not as unchanging as they sometimes seem to be, but we all learned these at a very early age, andthey are very difficult to shake.</w:t>
      </w:r>
    </w:p>
    <w:p w14:paraId="55FCFD42" w14:textId="77777777" w:rsidR="00EC425E" w:rsidRPr="00EC425E" w:rsidRDefault="00EC425E" w:rsidP="00EC425E">
      <w:pPr>
        <w:numPr>
          <w:ilvl w:val="0"/>
          <w:numId w:val="18"/>
        </w:numPr>
        <w:spacing w:after="0" w:line="270" w:lineRule="atLeast"/>
        <w:ind w:left="0"/>
        <w:rPr>
          <w:rFonts w:ascii="inherit" w:eastAsia="Times New Roman" w:hAnsi="inherit" w:cs="Times New Roman"/>
          <w:color w:val="808080"/>
          <w:sz w:val="20"/>
          <w:szCs w:val="20"/>
        </w:rPr>
      </w:pPr>
      <w:hyperlink r:id="rId64" w:history="1">
        <w:r w:rsidRPr="00EC425E">
          <w:rPr>
            <w:rFonts w:ascii="inherit" w:eastAsia="Times New Roman" w:hAnsi="inherit" w:cs="Times New Roman"/>
            <w:color w:val="0069D6"/>
            <w:sz w:val="20"/>
            <w:szCs w:val="20"/>
            <w:u w:val="single"/>
            <w:bdr w:val="none" w:sz="0" w:space="0" w:color="auto" w:frame="1"/>
          </w:rPr>
          <w:t>Notebook</w:t>
        </w:r>
      </w:hyperlink>
    </w:p>
    <w:p w14:paraId="5D3925B6" w14:textId="77777777" w:rsidR="00EC425E" w:rsidRPr="00EC425E" w:rsidRDefault="00EC425E" w:rsidP="00EC425E">
      <w:pPr>
        <w:numPr>
          <w:ilvl w:val="0"/>
          <w:numId w:val="19"/>
        </w:numPr>
        <w:spacing w:after="0" w:line="270" w:lineRule="atLeast"/>
        <w:ind w:left="0"/>
        <w:rPr>
          <w:rFonts w:ascii="inherit" w:eastAsia="Times New Roman" w:hAnsi="inherit" w:cs="Times New Roman"/>
          <w:color w:val="808080"/>
          <w:sz w:val="20"/>
          <w:szCs w:val="20"/>
        </w:rPr>
      </w:pPr>
      <w:hyperlink r:id="rId65" w:history="1">
        <w:r w:rsidRPr="00EC425E">
          <w:rPr>
            <w:rFonts w:ascii="inherit" w:eastAsia="Times New Roman" w:hAnsi="inherit" w:cs="Times New Roman"/>
            <w:color w:val="0069D6"/>
            <w:sz w:val="20"/>
            <w:szCs w:val="20"/>
            <w:u w:val="single"/>
            <w:bdr w:val="none" w:sz="0" w:space="0" w:color="auto" w:frame="1"/>
          </w:rPr>
          <w:t>My Bookshelf</w:t>
        </w:r>
      </w:hyperlink>
    </w:p>
    <w:p w14:paraId="74689932" w14:textId="77777777" w:rsidR="00EC425E" w:rsidRPr="00EC425E" w:rsidRDefault="00EC425E" w:rsidP="00EC425E">
      <w:pPr>
        <w:numPr>
          <w:ilvl w:val="0"/>
          <w:numId w:val="19"/>
        </w:numPr>
        <w:spacing w:after="0" w:line="270" w:lineRule="atLeast"/>
        <w:ind w:left="0"/>
        <w:rPr>
          <w:rFonts w:ascii="inherit" w:eastAsia="Times New Roman" w:hAnsi="inherit" w:cs="Times New Roman"/>
          <w:color w:val="808080"/>
          <w:sz w:val="20"/>
          <w:szCs w:val="20"/>
        </w:rPr>
      </w:pPr>
      <w:hyperlink r:id="rId66" w:anchor="toc" w:history="1">
        <w:r w:rsidRPr="00EC425E">
          <w:rPr>
            <w:rFonts w:ascii="inherit" w:eastAsia="Times New Roman" w:hAnsi="inherit" w:cs="Times New Roman"/>
            <w:color w:val="0069D6"/>
            <w:sz w:val="20"/>
            <w:szCs w:val="20"/>
            <w:u w:val="single"/>
            <w:bdr w:val="none" w:sz="0" w:space="0" w:color="auto" w:frame="1"/>
          </w:rPr>
          <w:t>TOC/Annotation menu</w:t>
        </w:r>
      </w:hyperlink>
    </w:p>
    <w:p w14:paraId="6BCA0A73" w14:textId="77777777" w:rsidR="00EC425E" w:rsidRPr="00EC425E" w:rsidRDefault="00EC425E" w:rsidP="00EC425E">
      <w:pPr>
        <w:numPr>
          <w:ilvl w:val="0"/>
          <w:numId w:val="20"/>
        </w:numPr>
        <w:spacing w:after="0" w:line="270" w:lineRule="atLeast"/>
        <w:ind w:left="0"/>
        <w:rPr>
          <w:rFonts w:ascii="inherit" w:eastAsia="Times New Roman" w:hAnsi="inherit" w:cs="Times New Roman"/>
          <w:color w:val="808080"/>
          <w:sz w:val="20"/>
          <w:szCs w:val="20"/>
        </w:rPr>
      </w:pPr>
      <w:hyperlink r:id="rId67" w:anchor="options" w:history="1">
        <w:r w:rsidRPr="00EC425E">
          <w:rPr>
            <w:rFonts w:ascii="inherit" w:eastAsia="Times New Roman" w:hAnsi="inherit" w:cs="Times New Roman"/>
            <w:color w:val="0069D6"/>
            <w:sz w:val="20"/>
            <w:szCs w:val="20"/>
            <w:u w:val="single"/>
            <w:bdr w:val="none" w:sz="0" w:space="0" w:color="auto" w:frame="1"/>
          </w:rPr>
          <w:t>Downloads</w:t>
        </w:r>
      </w:hyperlink>
    </w:p>
    <w:p w14:paraId="40FFBE36" w14:textId="77777777" w:rsidR="00EC425E" w:rsidRPr="00EC425E" w:rsidRDefault="00EC425E" w:rsidP="00EC425E">
      <w:pPr>
        <w:numPr>
          <w:ilvl w:val="0"/>
          <w:numId w:val="20"/>
        </w:numPr>
        <w:spacing w:after="0" w:line="270" w:lineRule="atLeast"/>
        <w:ind w:left="0"/>
        <w:rPr>
          <w:rFonts w:ascii="inherit" w:eastAsia="Times New Roman" w:hAnsi="inherit" w:cs="Times New Roman"/>
          <w:color w:val="808080"/>
          <w:sz w:val="20"/>
          <w:szCs w:val="20"/>
        </w:rPr>
      </w:pPr>
      <w:hyperlink r:id="rId68" w:history="1">
        <w:r w:rsidRPr="00EC425E">
          <w:rPr>
            <w:rFonts w:ascii="inherit" w:eastAsia="Times New Roman" w:hAnsi="inherit" w:cs="Times New Roman"/>
            <w:color w:val="0069D6"/>
            <w:sz w:val="20"/>
            <w:szCs w:val="20"/>
            <w:u w:val="single"/>
            <w:bdr w:val="none" w:sz="0" w:space="0" w:color="auto" w:frame="1"/>
          </w:rPr>
          <w:t>Print</w:t>
        </w:r>
      </w:hyperlink>
    </w:p>
    <w:p w14:paraId="2E30EEC4" w14:textId="77777777" w:rsidR="00EC425E" w:rsidRPr="00EC425E" w:rsidRDefault="00EC425E" w:rsidP="00EC425E">
      <w:pPr>
        <w:numPr>
          <w:ilvl w:val="0"/>
          <w:numId w:val="20"/>
        </w:numPr>
        <w:spacing w:after="0" w:line="270" w:lineRule="atLeast"/>
        <w:ind w:left="0"/>
        <w:rPr>
          <w:rFonts w:ascii="inherit" w:eastAsia="Times New Roman" w:hAnsi="inherit" w:cs="Times New Roman"/>
          <w:color w:val="808080"/>
          <w:sz w:val="20"/>
          <w:szCs w:val="20"/>
        </w:rPr>
      </w:pPr>
      <w:hyperlink r:id="rId69" w:anchor="search" w:history="1">
        <w:r w:rsidRPr="00EC425E">
          <w:rPr>
            <w:rFonts w:ascii="inherit" w:eastAsia="Times New Roman" w:hAnsi="inherit" w:cs="Times New Roman"/>
            <w:color w:val="0069D6"/>
            <w:sz w:val="20"/>
            <w:szCs w:val="20"/>
            <w:u w:val="single"/>
            <w:bdr w:val="none" w:sz="0" w:space="0" w:color="auto" w:frame="1"/>
          </w:rPr>
          <w:t>Search</w:t>
        </w:r>
      </w:hyperlink>
    </w:p>
    <w:p w14:paraId="2644A42E" w14:textId="77777777" w:rsidR="00EC425E" w:rsidRPr="00EC425E" w:rsidRDefault="00EC425E" w:rsidP="00EC425E">
      <w:pPr>
        <w:numPr>
          <w:ilvl w:val="0"/>
          <w:numId w:val="20"/>
        </w:numPr>
        <w:spacing w:after="0" w:line="270" w:lineRule="atLeast"/>
        <w:ind w:left="75"/>
        <w:rPr>
          <w:rFonts w:ascii="inherit" w:eastAsia="Times New Roman" w:hAnsi="inherit" w:cs="Times New Roman"/>
          <w:color w:val="808080"/>
          <w:sz w:val="20"/>
          <w:szCs w:val="20"/>
        </w:rPr>
      </w:pPr>
      <w:hyperlink r:id="rId70" w:anchor="profile" w:history="1">
        <w:r w:rsidRPr="00EC425E">
          <w:rPr>
            <w:rFonts w:ascii="inherit" w:eastAsia="Times New Roman" w:hAnsi="inherit" w:cs="Times New Roman"/>
            <w:color w:val="0069D6"/>
            <w:sz w:val="20"/>
            <w:szCs w:val="20"/>
            <w:u w:val="single"/>
            <w:bdr w:val="none" w:sz="0" w:space="0" w:color="auto" w:frame="1"/>
          </w:rPr>
          <w:t>Profile</w:t>
        </w:r>
      </w:hyperlink>
    </w:p>
    <w:p w14:paraId="325B3D6C" w14:textId="77777777" w:rsidR="00EC425E" w:rsidRPr="00EC425E" w:rsidRDefault="00EC425E" w:rsidP="00EC425E">
      <w:pPr>
        <w:numPr>
          <w:ilvl w:val="0"/>
          <w:numId w:val="20"/>
        </w:numPr>
        <w:spacing w:after="0" w:line="270" w:lineRule="atLeast"/>
        <w:ind w:left="30"/>
        <w:rPr>
          <w:rFonts w:ascii="inherit" w:eastAsia="Times New Roman" w:hAnsi="inherit" w:cs="Times New Roman"/>
          <w:color w:val="808080"/>
          <w:sz w:val="20"/>
          <w:szCs w:val="20"/>
        </w:rPr>
      </w:pPr>
      <w:hyperlink r:id="rId71" w:anchor="help" w:history="1">
        <w:r w:rsidRPr="00EC425E">
          <w:rPr>
            <w:rFonts w:ascii="inherit" w:eastAsia="Times New Roman" w:hAnsi="inherit" w:cs="Times New Roman"/>
            <w:color w:val="0069D6"/>
            <w:sz w:val="20"/>
            <w:szCs w:val="20"/>
            <w:u w:val="single"/>
            <w:bdr w:val="none" w:sz="0" w:space="0" w:color="auto" w:frame="1"/>
          </w:rPr>
          <w:t>Help</w:t>
        </w:r>
      </w:hyperlink>
    </w:p>
    <w:p w14:paraId="7150215D" w14:textId="77777777" w:rsidR="00EC425E" w:rsidRPr="00EC425E" w:rsidRDefault="00EC425E" w:rsidP="00EC425E">
      <w:pPr>
        <w:spacing w:after="270" w:line="750" w:lineRule="atLeast"/>
        <w:jc w:val="center"/>
        <w:outlineLvl w:val="0"/>
        <w:rPr>
          <w:rFonts w:ascii="inherit" w:eastAsia="Times New Roman" w:hAnsi="inherit" w:cs="Times New Roman"/>
          <w:b/>
          <w:bCs/>
          <w:color w:val="EFEFEF"/>
          <w:kern w:val="36"/>
          <w:sz w:val="26"/>
          <w:szCs w:val="26"/>
        </w:rPr>
      </w:pPr>
      <w:r w:rsidRPr="00EC425E">
        <w:rPr>
          <w:rFonts w:ascii="inherit" w:eastAsia="Times New Roman" w:hAnsi="inherit" w:cs="Times New Roman"/>
          <w:b/>
          <w:bCs/>
          <w:color w:val="EFEFEF"/>
          <w:kern w:val="36"/>
          <w:sz w:val="26"/>
          <w:szCs w:val="26"/>
        </w:rPr>
        <w:t>2.7 Further Reading</w:t>
      </w:r>
    </w:p>
    <w:p w14:paraId="2A1CD16A"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72" w:tooltip="[PrevSection]" w:history="1">
        <w:r w:rsidRPr="00EC425E">
          <w:rPr>
            <w:rFonts w:ascii="inherit" w:eastAsia="Times New Roman" w:hAnsi="inherit" w:cs="Times New Roman"/>
            <w:color w:val="0069D6"/>
            <w:sz w:val="20"/>
            <w:szCs w:val="20"/>
            <w:u w:val="single"/>
            <w:bdr w:val="none" w:sz="0" w:space="0" w:color="auto" w:frame="1"/>
          </w:rPr>
          <w:t>Previous section</w:t>
        </w:r>
      </w:hyperlink>
    </w:p>
    <w:p w14:paraId="2E9AA740" w14:textId="77777777" w:rsidR="00EC425E" w:rsidRPr="00EC425E" w:rsidRDefault="00EC425E" w:rsidP="00EC425E">
      <w:pPr>
        <w:shd w:val="clear" w:color="auto" w:fill="EDECE5"/>
        <w:spacing w:after="0" w:line="240" w:lineRule="auto"/>
        <w:rPr>
          <w:rFonts w:ascii="Times New Roman" w:eastAsia="Times New Roman" w:hAnsi="Times New Roman" w:cs="Times New Roman"/>
          <w:sz w:val="24"/>
          <w:szCs w:val="24"/>
        </w:rPr>
      </w:pPr>
      <w:hyperlink r:id="rId73" w:tooltip="Next Section" w:history="1">
        <w:r w:rsidRPr="00EC425E">
          <w:rPr>
            <w:rFonts w:ascii="inherit" w:eastAsia="Times New Roman" w:hAnsi="inherit" w:cs="Times New Roman"/>
            <w:color w:val="0069D6"/>
            <w:sz w:val="20"/>
            <w:szCs w:val="20"/>
            <w:u w:val="single"/>
            <w:bdr w:val="none" w:sz="0" w:space="0" w:color="auto" w:frame="1"/>
          </w:rPr>
          <w:t>Next section</w:t>
        </w:r>
      </w:hyperlink>
    </w:p>
    <w:p w14:paraId="7E0F109F" w14:textId="77777777" w:rsidR="00EC425E" w:rsidRPr="00EC425E" w:rsidRDefault="00EC425E" w:rsidP="00EC425E">
      <w:pPr>
        <w:spacing w:before="30" w:after="288" w:line="240" w:lineRule="auto"/>
        <w:jc w:val="center"/>
        <w:rPr>
          <w:rFonts w:ascii="Cambria" w:eastAsia="Times New Roman" w:hAnsi="Cambria" w:cs="Times New Roman"/>
          <w:b/>
          <w:bCs/>
          <w:color w:val="000000"/>
          <w:sz w:val="36"/>
          <w:szCs w:val="36"/>
        </w:rPr>
      </w:pPr>
      <w:r w:rsidRPr="00EC425E">
        <w:rPr>
          <w:rFonts w:ascii="Cambria" w:eastAsia="Times New Roman" w:hAnsi="Cambria" w:cs="Times New Roman"/>
          <w:b/>
          <w:bCs/>
          <w:color w:val="000000"/>
          <w:sz w:val="36"/>
          <w:szCs w:val="36"/>
        </w:rPr>
        <w:t>2.7 Further Reading</w:t>
      </w:r>
    </w:p>
    <w:p w14:paraId="22FDA3D1" w14:textId="77777777" w:rsidR="00EC425E" w:rsidRPr="00EC425E" w:rsidRDefault="00EC425E" w:rsidP="00EC425E">
      <w:pPr>
        <w:shd w:val="clear" w:color="auto" w:fill="FFFFFF"/>
        <w:spacing w:after="0" w:line="240" w:lineRule="auto"/>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family is a topic of great interest in sociology, anthropology, and psychology as well as history, so that there are countless studies of allaspects of contemporary family life, many of which pay specific attention to gender issues. An excellent place to begin for historical studies ofthe family is the two-volume collection, André Burguière et al., eds., </w:t>
      </w:r>
      <w:r w:rsidRPr="00EC425E">
        <w:rPr>
          <w:rFonts w:ascii="inherit" w:eastAsia="Times New Roman" w:hAnsi="inherit" w:cs="Times New Roman"/>
          <w:i/>
          <w:iCs/>
          <w:color w:val="000000"/>
          <w:sz w:val="24"/>
          <w:szCs w:val="24"/>
          <w:bdr w:val="none" w:sz="0" w:space="0" w:color="auto" w:frame="1"/>
        </w:rPr>
        <w:t>A History of the Family</w:t>
      </w:r>
      <w:r w:rsidRPr="00EC425E">
        <w:rPr>
          <w:rFonts w:ascii="Cambria" w:eastAsia="Times New Roman" w:hAnsi="Cambria" w:cs="Times New Roman"/>
          <w:color w:val="000000"/>
          <w:sz w:val="24"/>
          <w:szCs w:val="24"/>
        </w:rPr>
        <w:t>, vol. 1: </w:t>
      </w:r>
      <w:r w:rsidRPr="00EC425E">
        <w:rPr>
          <w:rFonts w:ascii="inherit" w:eastAsia="Times New Roman" w:hAnsi="inherit" w:cs="Times New Roman"/>
          <w:i/>
          <w:iCs/>
          <w:color w:val="000000"/>
          <w:sz w:val="24"/>
          <w:szCs w:val="24"/>
          <w:bdr w:val="none" w:sz="0" w:space="0" w:color="auto" w:frame="1"/>
        </w:rPr>
        <w:t>Distant Worlds, Ancient Worlds</w:t>
      </w:r>
      <w:r w:rsidRPr="00EC425E">
        <w:rPr>
          <w:rFonts w:ascii="Cambria" w:eastAsia="Times New Roman" w:hAnsi="Cambria" w:cs="Times New Roman"/>
          <w:color w:val="000000"/>
          <w:sz w:val="24"/>
          <w:szCs w:val="24"/>
        </w:rPr>
        <w:t> and </w:t>
      </w:r>
      <w:r w:rsidRPr="00EC425E">
        <w:rPr>
          <w:rFonts w:ascii="inherit" w:eastAsia="Times New Roman" w:hAnsi="inherit" w:cs="Times New Roman"/>
          <w:i/>
          <w:iCs/>
          <w:color w:val="000000"/>
          <w:sz w:val="24"/>
          <w:szCs w:val="24"/>
          <w:bdr w:val="none" w:sz="0" w:space="0" w:color="auto" w:frame="1"/>
        </w:rPr>
        <w:t>A Historyof the Family</w:t>
      </w:r>
      <w:r w:rsidRPr="00EC425E">
        <w:rPr>
          <w:rFonts w:ascii="Cambria" w:eastAsia="Times New Roman" w:hAnsi="Cambria" w:cs="Times New Roman"/>
          <w:color w:val="000000"/>
          <w:sz w:val="24"/>
          <w:szCs w:val="24"/>
        </w:rPr>
        <w:t>, vol. 2: </w:t>
      </w:r>
      <w:r w:rsidRPr="00EC425E">
        <w:rPr>
          <w:rFonts w:ascii="inherit" w:eastAsia="Times New Roman" w:hAnsi="inherit" w:cs="Times New Roman"/>
          <w:i/>
          <w:iCs/>
          <w:color w:val="000000"/>
          <w:sz w:val="24"/>
          <w:szCs w:val="24"/>
          <w:bdr w:val="none" w:sz="0" w:space="0" w:color="auto" w:frame="1"/>
        </w:rPr>
        <w:t>The Impact of Modernity</w:t>
      </w:r>
      <w:r w:rsidRPr="00EC425E">
        <w:rPr>
          <w:rFonts w:ascii="Cambria" w:eastAsia="Times New Roman" w:hAnsi="Cambria" w:cs="Times New Roman"/>
          <w:color w:val="000000"/>
          <w:sz w:val="24"/>
          <w:szCs w:val="24"/>
        </w:rPr>
        <w:t> (Cambridge, MA: Harvard University Press, 1996). For overviews with a historical focus, seeJames Casey, </w:t>
      </w:r>
      <w:r w:rsidRPr="00EC425E">
        <w:rPr>
          <w:rFonts w:ascii="inherit" w:eastAsia="Times New Roman" w:hAnsi="inherit" w:cs="Times New Roman"/>
          <w:i/>
          <w:iCs/>
          <w:color w:val="000000"/>
          <w:sz w:val="24"/>
          <w:szCs w:val="24"/>
          <w:bdr w:val="none" w:sz="0" w:space="0" w:color="auto" w:frame="1"/>
        </w:rPr>
        <w:t>The History of the Family</w:t>
      </w:r>
      <w:r w:rsidRPr="00EC425E">
        <w:rPr>
          <w:rFonts w:ascii="Cambria" w:eastAsia="Times New Roman" w:hAnsi="Cambria" w:cs="Times New Roman"/>
          <w:color w:val="000000"/>
          <w:sz w:val="24"/>
          <w:szCs w:val="24"/>
        </w:rPr>
        <w:t> (London: Blackwell, 1989); Roderick Phillips, </w:t>
      </w:r>
      <w:r w:rsidRPr="00EC425E">
        <w:rPr>
          <w:rFonts w:ascii="inherit" w:eastAsia="Times New Roman" w:hAnsi="inherit" w:cs="Times New Roman"/>
          <w:i/>
          <w:iCs/>
          <w:color w:val="000000"/>
          <w:sz w:val="24"/>
          <w:szCs w:val="24"/>
          <w:bdr w:val="none" w:sz="0" w:space="0" w:color="auto" w:frame="1"/>
        </w:rPr>
        <w:t>Putting</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Asunder: A History of Divorce in Western Society</w:t>
      </w:r>
      <w:r w:rsidRPr="00EC425E">
        <w:rPr>
          <w:rFonts w:ascii="Cambria" w:eastAsia="Times New Roman" w:hAnsi="Cambria" w:cs="Times New Roman"/>
          <w:color w:val="000000"/>
          <w:sz w:val="24"/>
          <w:szCs w:val="24"/>
        </w:rPr>
        <w:t>(Cambridge: Cambridge University Press, 1988); G. Robina Quale, </w:t>
      </w:r>
      <w:r w:rsidRPr="00EC425E">
        <w:rPr>
          <w:rFonts w:ascii="inherit" w:eastAsia="Times New Roman" w:hAnsi="inherit" w:cs="Times New Roman"/>
          <w:i/>
          <w:iCs/>
          <w:color w:val="000000"/>
          <w:sz w:val="24"/>
          <w:szCs w:val="24"/>
          <w:bdr w:val="none" w:sz="0" w:space="0" w:color="auto" w:frame="1"/>
        </w:rPr>
        <w:t>Families in Context: A World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History of Population</w:t>
      </w:r>
      <w:r w:rsidRPr="00EC425E">
        <w:rPr>
          <w:rFonts w:ascii="Cambria" w:eastAsia="Times New Roman" w:hAnsi="Cambria" w:cs="Times New Roman"/>
          <w:color w:val="000000"/>
          <w:sz w:val="24"/>
          <w:szCs w:val="24"/>
        </w:rPr>
        <w:t> (New York: Greenwood,1992) and </w:t>
      </w:r>
      <w:r w:rsidRPr="00EC425E">
        <w:rPr>
          <w:rFonts w:ascii="inherit" w:eastAsia="Times New Roman" w:hAnsi="inherit" w:cs="Times New Roman"/>
          <w:i/>
          <w:iCs/>
          <w:color w:val="000000"/>
          <w:sz w:val="24"/>
          <w:szCs w:val="24"/>
          <w:bdr w:val="none" w:sz="0" w:space="0" w:color="auto" w:frame="1"/>
        </w:rPr>
        <w:t>A History of</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Marriage Systems</w:t>
      </w:r>
      <w:r w:rsidRPr="00EC425E">
        <w:rPr>
          <w:rFonts w:ascii="Cambria" w:eastAsia="Times New Roman" w:hAnsi="Cambria" w:cs="Times New Roman"/>
          <w:color w:val="000000"/>
          <w:sz w:val="24"/>
          <w:szCs w:val="24"/>
        </w:rPr>
        <w:t> (New York: Greenwood, 1988); Rosemary Radford Ruether, </w:t>
      </w:r>
      <w:r w:rsidRPr="00EC425E">
        <w:rPr>
          <w:rFonts w:ascii="inherit" w:eastAsia="Times New Roman" w:hAnsi="inherit" w:cs="Times New Roman"/>
          <w:i/>
          <w:iCs/>
          <w:color w:val="000000"/>
          <w:sz w:val="24"/>
          <w:szCs w:val="24"/>
          <w:bdr w:val="none" w:sz="0" w:space="0" w:color="auto" w:frame="1"/>
        </w:rPr>
        <w:t>Christianity and the Making of theModern Family</w:t>
      </w:r>
      <w:r w:rsidRPr="00EC425E">
        <w:rPr>
          <w:rFonts w:ascii="Cambria" w:eastAsia="Times New Roman" w:hAnsi="Cambria" w:cs="Times New Roman"/>
          <w:color w:val="000000"/>
          <w:sz w:val="24"/>
          <w:szCs w:val="24"/>
        </w:rPr>
        <w:t> (Boston: Beacon Press, 2001); Miriam Koktvedgaard Zeitzen, </w:t>
      </w:r>
      <w:r w:rsidRPr="00EC425E">
        <w:rPr>
          <w:rFonts w:ascii="inherit" w:eastAsia="Times New Roman" w:hAnsi="inherit" w:cs="Times New Roman"/>
          <w:i/>
          <w:iCs/>
          <w:color w:val="000000"/>
          <w:sz w:val="24"/>
          <w:szCs w:val="24"/>
          <w:bdr w:val="none" w:sz="0" w:space="0" w:color="auto" w:frame="1"/>
        </w:rPr>
        <w:t>Polygamy: A Cross-Cultural</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Analysis</w:t>
      </w:r>
      <w:r w:rsidRPr="00EC425E">
        <w:rPr>
          <w:rFonts w:ascii="Cambria" w:eastAsia="Times New Roman" w:hAnsi="Cambria" w:cs="Times New Roman"/>
          <w:color w:val="000000"/>
          <w:sz w:val="24"/>
          <w:szCs w:val="24"/>
        </w:rPr>
        <w:t> (New York: Berg, 2008);Robert Jütte, </w:t>
      </w:r>
      <w:r w:rsidRPr="00EC425E">
        <w:rPr>
          <w:rFonts w:ascii="inherit" w:eastAsia="Times New Roman" w:hAnsi="inherit" w:cs="Times New Roman"/>
          <w:i/>
          <w:iCs/>
          <w:color w:val="000000"/>
          <w:sz w:val="24"/>
          <w:szCs w:val="24"/>
          <w:bdr w:val="none" w:sz="0" w:space="0" w:color="auto" w:frame="1"/>
        </w:rPr>
        <w:t>Contraception: A History,</w:t>
      </w:r>
      <w:r w:rsidRPr="00EC425E">
        <w:rPr>
          <w:rFonts w:ascii="Cambria" w:eastAsia="Times New Roman" w:hAnsi="Cambria" w:cs="Times New Roman"/>
          <w:color w:val="000000"/>
          <w:sz w:val="24"/>
          <w:szCs w:val="24"/>
        </w:rPr>
        <w:t> trans. Vicky Russell (Malden, MA: Polity, 2008). The newest research may always be found in the the </w:t>
      </w:r>
      <w:r w:rsidRPr="00EC425E">
        <w:rPr>
          <w:rFonts w:ascii="inherit" w:eastAsia="Times New Roman" w:hAnsi="inherit" w:cs="Times New Roman"/>
          <w:i/>
          <w:iCs/>
          <w:color w:val="000000"/>
          <w:sz w:val="24"/>
          <w:szCs w:val="24"/>
          <w:bdr w:val="none" w:sz="0" w:space="0" w:color="auto" w:frame="1"/>
        </w:rPr>
        <w:t>Journal of Family History</w:t>
      </w:r>
      <w:r w:rsidRPr="00EC425E">
        <w:rPr>
          <w:rFonts w:ascii="Cambria" w:eastAsia="Times New Roman" w:hAnsi="Cambria" w:cs="Times New Roman"/>
          <w:color w:val="000000"/>
          <w:sz w:val="24"/>
          <w:szCs w:val="24"/>
        </w:rPr>
        <w:t>, which began publication in 1976.</w:t>
      </w:r>
    </w:p>
    <w:p w14:paraId="77824CBC"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There are many collections that bring together issues of family life from a number of different cultures and time periods, including Mary JoMaynes et al., eds., </w:t>
      </w:r>
      <w:r w:rsidRPr="00EC425E">
        <w:rPr>
          <w:rFonts w:ascii="inherit" w:eastAsia="Times New Roman" w:hAnsi="inherit" w:cs="Times New Roman"/>
          <w:i/>
          <w:iCs/>
          <w:color w:val="000000"/>
          <w:sz w:val="24"/>
          <w:szCs w:val="24"/>
          <w:bdr w:val="none" w:sz="0" w:space="0" w:color="auto" w:frame="1"/>
        </w:rPr>
        <w:t>Gender, Kinship, Power: A Comparative and Interdisciplinary</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History</w:t>
      </w:r>
      <w:r w:rsidRPr="00EC425E">
        <w:rPr>
          <w:rFonts w:ascii="Cambria" w:eastAsia="Times New Roman" w:hAnsi="Cambria" w:cs="Times New Roman"/>
          <w:color w:val="000000"/>
          <w:sz w:val="24"/>
          <w:szCs w:val="24"/>
        </w:rPr>
        <w:t> (New York: Routledge, 1996); special issue of the </w:t>
      </w:r>
      <w:r w:rsidRPr="00EC425E">
        <w:rPr>
          <w:rFonts w:ascii="inherit" w:eastAsia="Times New Roman" w:hAnsi="inherit" w:cs="Times New Roman"/>
          <w:i/>
          <w:iCs/>
          <w:color w:val="000000"/>
          <w:sz w:val="24"/>
          <w:szCs w:val="24"/>
          <w:bdr w:val="none" w:sz="0" w:space="0" w:color="auto" w:frame="1"/>
        </w:rPr>
        <w:t>Journal of</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Family History</w:t>
      </w:r>
      <w:r w:rsidRPr="00EC425E">
        <w:rPr>
          <w:rFonts w:ascii="Cambria" w:eastAsia="Times New Roman" w:hAnsi="Cambria" w:cs="Times New Roman"/>
          <w:color w:val="000000"/>
          <w:sz w:val="24"/>
          <w:szCs w:val="24"/>
        </w:rPr>
        <w:t>, 24:3 (1999) on the history of fatherhood; special issue of </w:t>
      </w:r>
      <w:r w:rsidRPr="00EC425E">
        <w:rPr>
          <w:rFonts w:ascii="inherit" w:eastAsia="Times New Roman" w:hAnsi="inherit" w:cs="Times New Roman"/>
          <w:i/>
          <w:iCs/>
          <w:color w:val="000000"/>
          <w:sz w:val="24"/>
          <w:szCs w:val="24"/>
          <w:bdr w:val="none" w:sz="0" w:space="0" w:color="auto" w:frame="1"/>
        </w:rPr>
        <w:t>Women’s History Review</w:t>
      </w:r>
      <w:r w:rsidRPr="00EC425E">
        <w:rPr>
          <w:rFonts w:ascii="Cambria" w:eastAsia="Times New Roman" w:hAnsi="Cambria" w:cs="Times New Roman"/>
          <w:color w:val="000000"/>
          <w:sz w:val="24"/>
          <w:szCs w:val="24"/>
        </w:rPr>
        <w:t>, 8:2 (1999) on “RevisitingMotherhood: New Histories of the Public and Private”; Richard Wall, Tamara K. Hareven, and Josef Ehmer, eds. </w:t>
      </w:r>
      <w:r w:rsidRPr="00EC425E">
        <w:rPr>
          <w:rFonts w:ascii="inherit" w:eastAsia="Times New Roman" w:hAnsi="inherit" w:cs="Times New Roman"/>
          <w:i/>
          <w:iCs/>
          <w:color w:val="000000"/>
          <w:sz w:val="24"/>
          <w:szCs w:val="24"/>
          <w:bdr w:val="none" w:sz="0" w:space="0" w:color="auto" w:frame="1"/>
        </w:rPr>
        <w:t>Family History Revisited:Comparative Perspectives</w:t>
      </w:r>
      <w:r w:rsidRPr="00EC425E">
        <w:rPr>
          <w:rFonts w:ascii="Cambria" w:eastAsia="Times New Roman" w:hAnsi="Cambria" w:cs="Times New Roman"/>
          <w:color w:val="000000"/>
          <w:sz w:val="24"/>
          <w:szCs w:val="24"/>
        </w:rPr>
        <w:t> (Newark: University of Delaware Press, 2001).</w:t>
      </w:r>
    </w:p>
    <w:p w14:paraId="5CC6B0E5"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For analyses of family and gender in ancient Greece, see Nancy Demand, </w:t>
      </w:r>
      <w:r w:rsidRPr="00EC425E">
        <w:rPr>
          <w:rFonts w:ascii="inherit" w:eastAsia="Times New Roman" w:hAnsi="inherit" w:cs="Times New Roman"/>
          <w:i/>
          <w:iCs/>
          <w:color w:val="000000"/>
          <w:sz w:val="24"/>
          <w:szCs w:val="24"/>
          <w:bdr w:val="none" w:sz="0" w:space="0" w:color="auto" w:frame="1"/>
        </w:rPr>
        <w:t>Birth, Death, and Motherhood in Classical Greece</w:t>
      </w:r>
      <w:r w:rsidRPr="00EC425E">
        <w:rPr>
          <w:rFonts w:ascii="Cambria" w:eastAsia="Times New Roman" w:hAnsi="Cambria" w:cs="Times New Roman"/>
          <w:color w:val="000000"/>
          <w:sz w:val="24"/>
          <w:szCs w:val="24"/>
        </w:rPr>
        <w:t> (Baltimore, MD:Johns Hopkins University Press, 1994); Sarah Pomeroy, </w:t>
      </w:r>
      <w:r w:rsidRPr="00EC425E">
        <w:rPr>
          <w:rFonts w:ascii="inherit" w:eastAsia="Times New Roman" w:hAnsi="inherit" w:cs="Times New Roman"/>
          <w:i/>
          <w:iCs/>
          <w:color w:val="000000"/>
          <w:sz w:val="24"/>
          <w:szCs w:val="24"/>
          <w:bdr w:val="none" w:sz="0" w:space="0" w:color="auto" w:frame="1"/>
        </w:rPr>
        <w:t>Families in Classical and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Hellenistic Greece: Representations and Realities</w:t>
      </w:r>
      <w:r w:rsidRPr="00EC425E">
        <w:rPr>
          <w:rFonts w:ascii="Cambria" w:eastAsia="Times New Roman" w:hAnsi="Cambria" w:cs="Times New Roman"/>
          <w:color w:val="000000"/>
          <w:sz w:val="24"/>
          <w:szCs w:val="24"/>
        </w:rPr>
        <w:t> (Oxford:Clarendon Press, 1997). Beryl Rawson has edited three books about families in ancient Rome, the most recent of which is </w:t>
      </w:r>
      <w:r w:rsidRPr="00EC425E">
        <w:rPr>
          <w:rFonts w:ascii="inherit" w:eastAsia="Times New Roman" w:hAnsi="inherit" w:cs="Times New Roman"/>
          <w:i/>
          <w:iCs/>
          <w:color w:val="000000"/>
          <w:sz w:val="24"/>
          <w:szCs w:val="24"/>
          <w:bdr w:val="none" w:sz="0" w:space="0" w:color="auto" w:frame="1"/>
        </w:rPr>
        <w:t>The Roman Familyin Italy: Status, Sentiment,</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Space</w:t>
      </w:r>
      <w:r w:rsidRPr="00EC425E">
        <w:rPr>
          <w:rFonts w:ascii="Cambria" w:eastAsia="Times New Roman" w:hAnsi="Cambria" w:cs="Times New Roman"/>
          <w:color w:val="000000"/>
          <w:sz w:val="24"/>
          <w:szCs w:val="24"/>
        </w:rPr>
        <w:t> (Oxford: Clarendon Press, 1997).</w:t>
      </w:r>
    </w:p>
    <w:p w14:paraId="4D7D30E9"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lastRenderedPageBreak/>
        <w:t>The European family has received far more attention in English-language scholarship than those in other parts of the world. These includegeneral essay collections and surveys, such as Richard Wall, Jean Robin, and Peter Laslett, eds., </w:t>
      </w:r>
      <w:r w:rsidRPr="00EC425E">
        <w:rPr>
          <w:rFonts w:ascii="inherit" w:eastAsia="Times New Roman" w:hAnsi="inherit" w:cs="Times New Roman"/>
          <w:i/>
          <w:iCs/>
          <w:color w:val="000000"/>
          <w:sz w:val="24"/>
          <w:szCs w:val="24"/>
          <w:bdr w:val="none" w:sz="0" w:space="0" w:color="auto" w:frame="1"/>
        </w:rPr>
        <w:t>Family Forms in Historic Europe</w:t>
      </w:r>
      <w:r w:rsidRPr="00EC425E">
        <w:rPr>
          <w:rFonts w:ascii="Cambria" w:eastAsia="Times New Roman" w:hAnsi="Cambria" w:cs="Times New Roman"/>
          <w:color w:val="000000"/>
          <w:sz w:val="24"/>
          <w:szCs w:val="24"/>
        </w:rPr>
        <w:t> (Cambridge:Cambridge University Press, 1983); Linda Pollock, </w:t>
      </w:r>
      <w:r w:rsidRPr="00EC425E">
        <w:rPr>
          <w:rFonts w:ascii="inherit" w:eastAsia="Times New Roman" w:hAnsi="inherit" w:cs="Times New Roman"/>
          <w:i/>
          <w:iCs/>
          <w:color w:val="000000"/>
          <w:sz w:val="24"/>
          <w:szCs w:val="24"/>
          <w:bdr w:val="none" w:sz="0" w:space="0" w:color="auto" w:frame="1"/>
        </w:rPr>
        <w:t>Forgotten Children: Parent-Child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Relations from 1500 to 1900</w:t>
      </w:r>
      <w:r w:rsidRPr="00EC425E">
        <w:rPr>
          <w:rFonts w:ascii="Cambria" w:eastAsia="Times New Roman" w:hAnsi="Cambria" w:cs="Times New Roman"/>
          <w:color w:val="000000"/>
          <w:sz w:val="24"/>
          <w:szCs w:val="24"/>
        </w:rPr>
        <w:t> (Cambridge: CambridgeUniversity Press, 1983); Michael Mitterauer and Reinhold Sieder, </w:t>
      </w:r>
      <w:r w:rsidRPr="00EC425E">
        <w:rPr>
          <w:rFonts w:ascii="inherit" w:eastAsia="Times New Roman" w:hAnsi="inherit" w:cs="Times New Roman"/>
          <w:i/>
          <w:iCs/>
          <w:color w:val="000000"/>
          <w:sz w:val="24"/>
          <w:szCs w:val="24"/>
          <w:bdr w:val="none" w:sz="0" w:space="0" w:color="auto" w:frame="1"/>
        </w:rPr>
        <w:t>The European Family:</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Patriarchy to Partnership from the Middle Ages to thePresent</w:t>
      </w:r>
      <w:r w:rsidRPr="00EC425E">
        <w:rPr>
          <w:rFonts w:ascii="Cambria" w:eastAsia="Times New Roman" w:hAnsi="Cambria" w:cs="Times New Roman"/>
          <w:color w:val="000000"/>
          <w:sz w:val="24"/>
          <w:szCs w:val="24"/>
        </w:rPr>
        <w:t> (Chicago: University of Chicago Press, 1983); Richard M. Smith, ed., </w:t>
      </w:r>
      <w:r w:rsidRPr="00EC425E">
        <w:rPr>
          <w:rFonts w:ascii="inherit" w:eastAsia="Times New Roman" w:hAnsi="inherit" w:cs="Times New Roman"/>
          <w:i/>
          <w:iCs/>
          <w:color w:val="000000"/>
          <w:sz w:val="24"/>
          <w:szCs w:val="24"/>
          <w:bdr w:val="none" w:sz="0" w:space="0" w:color="auto" w:frame="1"/>
        </w:rPr>
        <w:t>Land, Kinship,</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and Life-Cycle</w:t>
      </w:r>
      <w:r w:rsidRPr="00EC425E">
        <w:rPr>
          <w:rFonts w:ascii="Cambria" w:eastAsia="Times New Roman" w:hAnsi="Cambria" w:cs="Times New Roman"/>
          <w:color w:val="000000"/>
          <w:sz w:val="24"/>
          <w:szCs w:val="24"/>
        </w:rPr>
        <w:t> (Cambridge: Cambridge UniversityPress, 1984); Hans Medick and David Sabean, eds., </w:t>
      </w:r>
      <w:r w:rsidRPr="00EC425E">
        <w:rPr>
          <w:rFonts w:ascii="inherit" w:eastAsia="Times New Roman" w:hAnsi="inherit" w:cs="Times New Roman"/>
          <w:i/>
          <w:iCs/>
          <w:color w:val="000000"/>
          <w:sz w:val="24"/>
          <w:szCs w:val="24"/>
          <w:bdr w:val="none" w:sz="0" w:space="0" w:color="auto" w:frame="1"/>
        </w:rPr>
        <w:t>Interest and Emotion: Essays on the Study</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of Family and Kinship</w:t>
      </w:r>
      <w:r w:rsidRPr="00EC425E">
        <w:rPr>
          <w:rFonts w:ascii="Cambria" w:eastAsia="Times New Roman" w:hAnsi="Cambria" w:cs="Times New Roman"/>
          <w:color w:val="000000"/>
          <w:sz w:val="24"/>
          <w:szCs w:val="24"/>
        </w:rPr>
        <w:t> (Cambridge: CambridgeUniversity Press, 1984); Wally Seccombe, </w:t>
      </w:r>
      <w:r w:rsidRPr="00EC425E">
        <w:rPr>
          <w:rFonts w:ascii="inherit" w:eastAsia="Times New Roman" w:hAnsi="inherit" w:cs="Times New Roman"/>
          <w:i/>
          <w:iCs/>
          <w:color w:val="000000"/>
          <w:sz w:val="24"/>
          <w:szCs w:val="24"/>
          <w:bdr w:val="none" w:sz="0" w:space="0" w:color="auto" w:frame="1"/>
        </w:rPr>
        <w:t>A Millennium of Family Change: Feudalism to Capitalism in Northwestern Europe</w:t>
      </w:r>
      <w:r w:rsidRPr="00EC425E">
        <w:rPr>
          <w:rFonts w:ascii="Cambria" w:eastAsia="Times New Roman" w:hAnsi="Cambria" w:cs="Times New Roman"/>
          <w:color w:val="000000"/>
          <w:sz w:val="24"/>
          <w:szCs w:val="24"/>
        </w:rPr>
        <w:t> (London: Verso,1992); David Herlihy, </w:t>
      </w:r>
      <w:r w:rsidRPr="00EC425E">
        <w:rPr>
          <w:rFonts w:ascii="inherit" w:eastAsia="Times New Roman" w:hAnsi="inherit" w:cs="Times New Roman"/>
          <w:i/>
          <w:iCs/>
          <w:color w:val="000000"/>
          <w:sz w:val="24"/>
          <w:szCs w:val="24"/>
          <w:bdr w:val="none" w:sz="0" w:space="0" w:color="auto" w:frame="1"/>
        </w:rPr>
        <w:t>Women,</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Family and Society in Medieval Europe</w:t>
      </w:r>
      <w:r w:rsidRPr="00EC425E">
        <w:rPr>
          <w:rFonts w:ascii="Cambria" w:eastAsia="Times New Roman" w:hAnsi="Cambria" w:cs="Times New Roman"/>
          <w:color w:val="000000"/>
          <w:sz w:val="24"/>
          <w:szCs w:val="24"/>
        </w:rPr>
        <w:t> (Providence, RI: Berghahn Books, 1995); Jack Goody, </w:t>
      </w:r>
      <w:r w:rsidRPr="00EC425E">
        <w:rPr>
          <w:rFonts w:ascii="inherit" w:eastAsia="Times New Roman" w:hAnsi="inherit" w:cs="Times New Roman"/>
          <w:i/>
          <w:iCs/>
          <w:color w:val="000000"/>
          <w:sz w:val="24"/>
          <w:szCs w:val="24"/>
          <w:bdr w:val="none" w:sz="0" w:space="0" w:color="auto" w:frame="1"/>
        </w:rPr>
        <w:t>The EuropeanFamily: An Historico-Anthropological</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Essay</w:t>
      </w:r>
      <w:r w:rsidRPr="00EC425E">
        <w:rPr>
          <w:rFonts w:ascii="Cambria" w:eastAsia="Times New Roman" w:hAnsi="Cambria" w:cs="Times New Roman"/>
          <w:color w:val="000000"/>
          <w:sz w:val="24"/>
          <w:szCs w:val="24"/>
        </w:rPr>
        <w:t> (Oxford: Blackwell, 2000); David Warren Sabean, Simon Teuscher, and Jon Mathieu, eds., </w:t>
      </w:r>
      <w:r w:rsidRPr="00EC425E">
        <w:rPr>
          <w:rFonts w:ascii="inherit" w:eastAsia="Times New Roman" w:hAnsi="inherit" w:cs="Times New Roman"/>
          <w:i/>
          <w:iCs/>
          <w:color w:val="000000"/>
          <w:sz w:val="24"/>
          <w:szCs w:val="24"/>
          <w:bdr w:val="none" w:sz="0" w:space="0" w:color="auto" w:frame="1"/>
        </w:rPr>
        <w:t>Kinship inEurope: Approaches to Long-Term</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Development (1300-1900)</w:t>
      </w:r>
      <w:r w:rsidRPr="00EC425E">
        <w:rPr>
          <w:rFonts w:ascii="Cambria" w:eastAsia="Times New Roman" w:hAnsi="Cambria" w:cs="Times New Roman"/>
          <w:color w:val="000000"/>
          <w:sz w:val="24"/>
          <w:szCs w:val="24"/>
        </w:rPr>
        <w:t> (New York: Berghahn Books, 2007). Important studies that focus on one countryinclude Christiane Klapisch-Zuber, </w:t>
      </w:r>
      <w:r w:rsidRPr="00EC425E">
        <w:rPr>
          <w:rFonts w:ascii="inherit" w:eastAsia="Times New Roman" w:hAnsi="inherit" w:cs="Times New Roman"/>
          <w:i/>
          <w:iCs/>
          <w:color w:val="000000"/>
          <w:sz w:val="24"/>
          <w:szCs w:val="24"/>
          <w:bdr w:val="none" w:sz="0" w:space="0" w:color="auto" w:frame="1"/>
        </w:rPr>
        <w:t>Women, Family, and Ritual in Renaissance Italy</w:t>
      </w:r>
      <w:r w:rsidRPr="00EC425E">
        <w:rPr>
          <w:rFonts w:ascii="Cambria" w:eastAsia="Times New Roman" w:hAnsi="Cambria" w:cs="Times New Roman"/>
          <w:color w:val="000000"/>
          <w:sz w:val="24"/>
          <w:szCs w:val="24"/>
        </w:rPr>
        <w:t> (Chicago: University of Chicago Press, 1985); SherrinMarshall, </w:t>
      </w:r>
      <w:r w:rsidRPr="00EC425E">
        <w:rPr>
          <w:rFonts w:ascii="inherit" w:eastAsia="Times New Roman" w:hAnsi="inherit" w:cs="Times New Roman"/>
          <w:i/>
          <w:iCs/>
          <w:color w:val="000000"/>
          <w:sz w:val="24"/>
          <w:szCs w:val="24"/>
          <w:bdr w:val="none" w:sz="0" w:space="0" w:color="auto" w:frame="1"/>
        </w:rPr>
        <w:t>The Dutch Gentry, 1500-1650:</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Family, Faith and Fortune</w:t>
      </w:r>
      <w:r w:rsidRPr="00EC425E">
        <w:rPr>
          <w:rFonts w:ascii="Cambria" w:eastAsia="Times New Roman" w:hAnsi="Cambria" w:cs="Times New Roman"/>
          <w:color w:val="000000"/>
          <w:sz w:val="24"/>
          <w:szCs w:val="24"/>
        </w:rPr>
        <w:t> (New York: Greenwood, 1987); Joel Harrington, </w:t>
      </w:r>
      <w:r w:rsidRPr="00EC425E">
        <w:rPr>
          <w:rFonts w:ascii="inherit" w:eastAsia="Times New Roman" w:hAnsi="inherit" w:cs="Times New Roman"/>
          <w:i/>
          <w:iCs/>
          <w:color w:val="000000"/>
          <w:sz w:val="24"/>
          <w:szCs w:val="24"/>
          <w:bdr w:val="none" w:sz="0" w:space="0" w:color="auto" w:frame="1"/>
        </w:rPr>
        <w:t>Reordering Marriage andSociety in Reformation Germany</w:t>
      </w:r>
      <w:r w:rsidRPr="00EC425E">
        <w:rPr>
          <w:rFonts w:ascii="Cambria" w:eastAsia="Times New Roman" w:hAnsi="Cambria" w:cs="Times New Roman"/>
          <w:color w:val="000000"/>
          <w:sz w:val="24"/>
          <w:szCs w:val="24"/>
        </w:rPr>
        <w:t> (Cambridge: Cambridge University Press, 1995); Margaret Hunt, </w:t>
      </w:r>
      <w:r w:rsidRPr="00EC425E">
        <w:rPr>
          <w:rFonts w:ascii="inherit" w:eastAsia="Times New Roman" w:hAnsi="inherit" w:cs="Times New Roman"/>
          <w:i/>
          <w:iCs/>
          <w:color w:val="000000"/>
          <w:sz w:val="24"/>
          <w:szCs w:val="24"/>
          <w:bdr w:val="none" w:sz="0" w:space="0" w:color="auto" w:frame="1"/>
        </w:rPr>
        <w:t>The Middling Sort:</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Commerce, Gender, andthe Family in England, 1680-1780</w:t>
      </w:r>
      <w:r w:rsidRPr="00EC425E">
        <w:rPr>
          <w:rFonts w:ascii="Cambria" w:eastAsia="Times New Roman" w:hAnsi="Cambria" w:cs="Times New Roman"/>
          <w:color w:val="000000"/>
          <w:sz w:val="24"/>
          <w:szCs w:val="24"/>
        </w:rPr>
        <w:t> (Berkeley: University of California Press, 1996); Martha C. Howell, </w:t>
      </w:r>
      <w:r w:rsidRPr="00EC425E">
        <w:rPr>
          <w:rFonts w:ascii="inherit" w:eastAsia="Times New Roman" w:hAnsi="inherit" w:cs="Times New Roman"/>
          <w:i/>
          <w:iCs/>
          <w:color w:val="000000"/>
          <w:sz w:val="24"/>
          <w:szCs w:val="24"/>
          <w:bdr w:val="none" w:sz="0" w:space="0" w:color="auto" w:frame="1"/>
        </w:rPr>
        <w:t>The Marriage</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Exchange: Property, SocialPlace, and Gender in the Cities of the Low Countries, 1300-1500</w:t>
      </w:r>
      <w:r w:rsidRPr="00EC425E">
        <w:rPr>
          <w:rFonts w:ascii="Cambria" w:eastAsia="Times New Roman" w:hAnsi="Cambria" w:cs="Times New Roman"/>
          <w:color w:val="000000"/>
          <w:sz w:val="24"/>
          <w:szCs w:val="24"/>
        </w:rPr>
        <w:t> (Chicago: University of Chicago Press, 1998); Joshua Cole, </w:t>
      </w:r>
      <w:r w:rsidRPr="00EC425E">
        <w:rPr>
          <w:rFonts w:ascii="inherit" w:eastAsia="Times New Roman" w:hAnsi="inherit" w:cs="Times New Roman"/>
          <w:i/>
          <w:iCs/>
          <w:color w:val="000000"/>
          <w:sz w:val="24"/>
          <w:szCs w:val="24"/>
          <w:bdr w:val="none" w:sz="0" w:space="0" w:color="auto" w:frame="1"/>
        </w:rPr>
        <w:t>The Power of LargeNumbers: Population, Politics, and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Gender in Nineteenth-Century France</w:t>
      </w:r>
      <w:r w:rsidRPr="00EC425E">
        <w:rPr>
          <w:rFonts w:ascii="Cambria" w:eastAsia="Times New Roman" w:hAnsi="Cambria" w:cs="Times New Roman"/>
          <w:color w:val="000000"/>
          <w:sz w:val="24"/>
          <w:szCs w:val="24"/>
        </w:rPr>
        <w:t> (Ithaca, NY: Cornell University Press, 2000); Helen Berry and ElizabethFoyster, eds., </w:t>
      </w:r>
      <w:r w:rsidRPr="00EC425E">
        <w:rPr>
          <w:rFonts w:ascii="inherit" w:eastAsia="Times New Roman" w:hAnsi="inherit" w:cs="Times New Roman"/>
          <w:i/>
          <w:iCs/>
          <w:color w:val="000000"/>
          <w:sz w:val="24"/>
          <w:szCs w:val="24"/>
          <w:bdr w:val="none" w:sz="0" w:space="0" w:color="auto" w:frame="1"/>
        </w:rPr>
        <w:t>The Family in Early Modern England</w:t>
      </w:r>
      <w:r w:rsidRPr="00EC425E">
        <w:rPr>
          <w:rFonts w:ascii="Cambria" w:eastAsia="Times New Roman" w:hAnsi="Cambria" w:cs="Times New Roman"/>
          <w:color w:val="000000"/>
          <w:sz w:val="24"/>
          <w:szCs w:val="24"/>
        </w:rPr>
        <w:t> (New York: Cambridge University Press, 2007). Two of the few studies that focus on easternEurope are Eve Levin, </w:t>
      </w:r>
      <w:r w:rsidRPr="00EC425E">
        <w:rPr>
          <w:rFonts w:ascii="inherit" w:eastAsia="Times New Roman" w:hAnsi="inherit" w:cs="Times New Roman"/>
          <w:i/>
          <w:iCs/>
          <w:color w:val="000000"/>
          <w:sz w:val="24"/>
          <w:szCs w:val="24"/>
          <w:bdr w:val="none" w:sz="0" w:space="0" w:color="auto" w:frame="1"/>
        </w:rPr>
        <w:t>Sex and Society</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in the World of the Orthodox Slavs, 900–1700</w:t>
      </w:r>
      <w:r w:rsidRPr="00EC425E">
        <w:rPr>
          <w:rFonts w:ascii="Cambria" w:eastAsia="Times New Roman" w:hAnsi="Cambria" w:cs="Times New Roman"/>
          <w:color w:val="000000"/>
          <w:sz w:val="24"/>
          <w:szCs w:val="24"/>
        </w:rPr>
        <w:t> (Ithaca, NY: Cornell University Press, 1989) and ChristineWorobec, </w:t>
      </w:r>
      <w:r w:rsidRPr="00EC425E">
        <w:rPr>
          <w:rFonts w:ascii="inherit" w:eastAsia="Times New Roman" w:hAnsi="inherit" w:cs="Times New Roman"/>
          <w:i/>
          <w:iCs/>
          <w:color w:val="000000"/>
          <w:sz w:val="24"/>
          <w:szCs w:val="24"/>
          <w:bdr w:val="none" w:sz="0" w:space="0" w:color="auto" w:frame="1"/>
        </w:rPr>
        <w:t>Peasant Russia: Family and Community in the Post-Emancipation Period</w:t>
      </w:r>
      <w:r w:rsidRPr="00EC425E">
        <w:rPr>
          <w:rFonts w:ascii="Cambria" w:eastAsia="Times New Roman" w:hAnsi="Cambria" w:cs="Times New Roman"/>
          <w:color w:val="000000"/>
          <w:sz w:val="24"/>
          <w:szCs w:val="24"/>
        </w:rPr>
        <w:t> (Princeton, NJ: Princeton University Press, 1991).</w:t>
      </w:r>
    </w:p>
    <w:p w14:paraId="56CA2DD0"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Two solid introductions to changing ideas about race are Ivan Hannaford, </w:t>
      </w:r>
      <w:r w:rsidRPr="00EC425E">
        <w:rPr>
          <w:rFonts w:ascii="inherit" w:eastAsia="Times New Roman" w:hAnsi="inherit" w:cs="Times New Roman"/>
          <w:i/>
          <w:iCs/>
          <w:color w:val="000000"/>
          <w:sz w:val="24"/>
          <w:szCs w:val="24"/>
          <w:bdr w:val="none" w:sz="0" w:space="0" w:color="auto" w:frame="1"/>
        </w:rPr>
        <w:t>Race: The History of an Idea in the West</w:t>
      </w:r>
      <w:r w:rsidRPr="00EC425E">
        <w:rPr>
          <w:rFonts w:ascii="Cambria" w:eastAsia="Times New Roman" w:hAnsi="Cambria" w:cs="Times New Roman"/>
          <w:color w:val="000000"/>
          <w:sz w:val="24"/>
          <w:szCs w:val="24"/>
        </w:rPr>
        <w:t> (Baltimore, MD: JohnsHopkins University Press, 1996) and Brian Niro, </w:t>
      </w:r>
      <w:r w:rsidRPr="00EC425E">
        <w:rPr>
          <w:rFonts w:ascii="inherit" w:eastAsia="Times New Roman" w:hAnsi="inherit" w:cs="Times New Roman"/>
          <w:i/>
          <w:iCs/>
          <w:color w:val="000000"/>
          <w:sz w:val="24"/>
          <w:szCs w:val="24"/>
          <w:bdr w:val="none" w:sz="0" w:space="0" w:color="auto" w:frame="1"/>
        </w:rPr>
        <w:t>Race</w:t>
      </w:r>
      <w:r w:rsidRPr="00EC425E">
        <w:rPr>
          <w:rFonts w:ascii="Cambria" w:eastAsia="Times New Roman" w:hAnsi="Cambria" w:cs="Times New Roman"/>
          <w:color w:val="000000"/>
          <w:sz w:val="24"/>
          <w:szCs w:val="24"/>
        </w:rPr>
        <w:t> (New York: Palgrave Macmillan, 2003). Studies that look at the ways in which race wasconstructed in European colonies include Magnus Mörner, </w:t>
      </w:r>
      <w:r w:rsidRPr="00EC425E">
        <w:rPr>
          <w:rFonts w:ascii="inherit" w:eastAsia="Times New Roman" w:hAnsi="inherit" w:cs="Times New Roman"/>
          <w:i/>
          <w:iCs/>
          <w:color w:val="000000"/>
          <w:sz w:val="24"/>
          <w:szCs w:val="24"/>
          <w:bdr w:val="none" w:sz="0" w:space="0" w:color="auto" w:frame="1"/>
        </w:rPr>
        <w:t>Race Mixture in the History of Latin America</w:t>
      </w:r>
      <w:r w:rsidRPr="00EC425E">
        <w:rPr>
          <w:rFonts w:ascii="Cambria" w:eastAsia="Times New Roman" w:hAnsi="Cambria" w:cs="Times New Roman"/>
          <w:color w:val="000000"/>
          <w:sz w:val="24"/>
          <w:szCs w:val="24"/>
        </w:rPr>
        <w:t> (Boston: Little, Brown, 1967); AnneMcClintock, </w:t>
      </w:r>
      <w:r w:rsidRPr="00EC425E">
        <w:rPr>
          <w:rFonts w:ascii="inherit" w:eastAsia="Times New Roman" w:hAnsi="inherit" w:cs="Times New Roman"/>
          <w:i/>
          <w:iCs/>
          <w:color w:val="000000"/>
          <w:sz w:val="24"/>
          <w:szCs w:val="24"/>
          <w:bdr w:val="none" w:sz="0" w:space="0" w:color="auto" w:frame="1"/>
        </w:rPr>
        <w:t>Imperial Leather: Race, Gender and Sexuality in the Colonial Contest</w:t>
      </w:r>
      <w:r w:rsidRPr="00EC425E">
        <w:rPr>
          <w:rFonts w:ascii="Cambria" w:eastAsia="Times New Roman" w:hAnsi="Cambria" w:cs="Times New Roman"/>
          <w:color w:val="000000"/>
          <w:sz w:val="24"/>
          <w:szCs w:val="24"/>
        </w:rPr>
        <w:t> (London: Routledge, 1995); Elise Lemire, </w:t>
      </w:r>
      <w:r w:rsidRPr="00EC425E">
        <w:rPr>
          <w:rFonts w:ascii="inherit" w:eastAsia="Times New Roman" w:hAnsi="inherit" w:cs="Times New Roman"/>
          <w:i/>
          <w:iCs/>
          <w:color w:val="000000"/>
          <w:sz w:val="24"/>
          <w:szCs w:val="24"/>
          <w:bdr w:val="none" w:sz="0" w:space="0" w:color="auto" w:frame="1"/>
        </w:rPr>
        <w:t>“Miscegenation”:Making Race</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in America</w:t>
      </w:r>
      <w:r w:rsidRPr="00EC425E">
        <w:rPr>
          <w:rFonts w:ascii="Cambria" w:eastAsia="Times New Roman" w:hAnsi="Cambria" w:cs="Times New Roman"/>
          <w:color w:val="000000"/>
          <w:sz w:val="24"/>
          <w:szCs w:val="24"/>
        </w:rPr>
        <w:t> (Philadelphia: University of Pennsylvania Press, 2002); Nancy Shoemaker, </w:t>
      </w:r>
      <w:r w:rsidRPr="00EC425E">
        <w:rPr>
          <w:rFonts w:ascii="inherit" w:eastAsia="Times New Roman" w:hAnsi="inherit" w:cs="Times New Roman"/>
          <w:i/>
          <w:iCs/>
          <w:color w:val="000000"/>
          <w:sz w:val="24"/>
          <w:szCs w:val="24"/>
          <w:bdr w:val="none" w:sz="0" w:space="0" w:color="auto" w:frame="1"/>
        </w:rPr>
        <w:t>A Strange Likeness: Becoming Red andWhite in EighteenthCentury North America</w:t>
      </w:r>
      <w:r w:rsidRPr="00EC425E">
        <w:rPr>
          <w:rFonts w:ascii="Cambria" w:eastAsia="Times New Roman" w:hAnsi="Cambria" w:cs="Times New Roman"/>
          <w:color w:val="000000"/>
          <w:sz w:val="24"/>
          <w:szCs w:val="24"/>
        </w:rPr>
        <w:t> (Oxford: Oxford University Press, 2004); María Elena Martínez, </w:t>
      </w:r>
      <w:r w:rsidRPr="00EC425E">
        <w:rPr>
          <w:rFonts w:ascii="inherit" w:eastAsia="Times New Roman" w:hAnsi="inherit" w:cs="Times New Roman"/>
          <w:i/>
          <w:iCs/>
          <w:color w:val="000000"/>
          <w:sz w:val="24"/>
          <w:szCs w:val="24"/>
          <w:bdr w:val="none" w:sz="0" w:space="0" w:color="auto" w:frame="1"/>
        </w:rPr>
        <w:t>Genealogical Fictions: Limpieza deSangre, Religion, and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Gender in Colonial Mexico</w:t>
      </w:r>
      <w:r w:rsidRPr="00EC425E">
        <w:rPr>
          <w:rFonts w:ascii="Cambria" w:eastAsia="Times New Roman" w:hAnsi="Cambria" w:cs="Times New Roman"/>
          <w:color w:val="000000"/>
          <w:sz w:val="24"/>
          <w:szCs w:val="24"/>
        </w:rPr>
        <w:t> (Stanford, CA: Stanford University Press, 2008).</w:t>
      </w:r>
    </w:p>
    <w:p w14:paraId="254C763B"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lastRenderedPageBreak/>
        <w:t>Studies of families in Latin America and the Caribbean include Patricia Seed, </w:t>
      </w:r>
      <w:r w:rsidRPr="00EC425E">
        <w:rPr>
          <w:rFonts w:ascii="inherit" w:eastAsia="Times New Roman" w:hAnsi="inherit" w:cs="Times New Roman"/>
          <w:i/>
          <w:iCs/>
          <w:color w:val="000000"/>
          <w:sz w:val="24"/>
          <w:szCs w:val="24"/>
          <w:bdr w:val="none" w:sz="0" w:space="0" w:color="auto" w:frame="1"/>
        </w:rPr>
        <w:t>To Love, Honor, and Obey in Colonial Mexico: Conflicts overMarriage Choice, 1574-1821</w:t>
      </w:r>
      <w:r w:rsidRPr="00EC425E">
        <w:rPr>
          <w:rFonts w:ascii="Cambria" w:eastAsia="Times New Roman" w:hAnsi="Cambria" w:cs="Times New Roman"/>
          <w:color w:val="000000"/>
          <w:sz w:val="24"/>
          <w:szCs w:val="24"/>
        </w:rPr>
        <w:t> (Stanford, CA: Stanford University Press, 1988); Asunción Lavrin, ed., </w:t>
      </w:r>
      <w:r w:rsidRPr="00EC425E">
        <w:rPr>
          <w:rFonts w:ascii="inherit" w:eastAsia="Times New Roman" w:hAnsi="inherit" w:cs="Times New Roman"/>
          <w:i/>
          <w:iCs/>
          <w:color w:val="000000"/>
          <w:sz w:val="24"/>
          <w:szCs w:val="24"/>
          <w:bdr w:val="none" w:sz="0" w:space="0" w:color="auto" w:frame="1"/>
        </w:rPr>
        <w:t>Sexuality and Marriage in Colonial LatinAmerica</w:t>
      </w:r>
      <w:r w:rsidRPr="00EC425E">
        <w:rPr>
          <w:rFonts w:ascii="Cambria" w:eastAsia="Times New Roman" w:hAnsi="Cambria" w:cs="Times New Roman"/>
          <w:color w:val="000000"/>
          <w:sz w:val="24"/>
          <w:szCs w:val="24"/>
        </w:rPr>
        <w:t> (Lincoln: University of Nebraska Press, 1989); Christine Barrow, </w:t>
      </w:r>
      <w:r w:rsidRPr="00EC425E">
        <w:rPr>
          <w:rFonts w:ascii="inherit" w:eastAsia="Times New Roman" w:hAnsi="inherit" w:cs="Times New Roman"/>
          <w:i/>
          <w:iCs/>
          <w:color w:val="000000"/>
          <w:sz w:val="24"/>
          <w:szCs w:val="24"/>
          <w:bdr w:val="none" w:sz="0" w:space="0" w:color="auto" w:frame="1"/>
        </w:rPr>
        <w:t>Family in the Caribbean: Themes and Perspectives</w:t>
      </w:r>
      <w:r w:rsidRPr="00EC425E">
        <w:rPr>
          <w:rFonts w:ascii="Cambria" w:eastAsia="Times New Roman" w:hAnsi="Cambria" w:cs="Times New Roman"/>
          <w:color w:val="000000"/>
          <w:sz w:val="24"/>
          <w:szCs w:val="24"/>
        </w:rPr>
        <w:t> (New York:Markus Weiner, 2000); Ondina E. González and Bianca Premo, eds., </w:t>
      </w:r>
      <w:r w:rsidRPr="00EC425E">
        <w:rPr>
          <w:rFonts w:ascii="inherit" w:eastAsia="Times New Roman" w:hAnsi="inherit" w:cs="Times New Roman"/>
          <w:i/>
          <w:iCs/>
          <w:color w:val="000000"/>
          <w:sz w:val="24"/>
          <w:szCs w:val="24"/>
          <w:bdr w:val="none" w:sz="0" w:space="0" w:color="auto" w:frame="1"/>
        </w:rPr>
        <w:t>Raising an</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Empire: Children in Early Modern Iberia and Colonial LatinAmerica</w:t>
      </w:r>
      <w:r w:rsidRPr="00EC425E">
        <w:rPr>
          <w:rFonts w:ascii="Cambria" w:eastAsia="Times New Roman" w:hAnsi="Cambria" w:cs="Times New Roman"/>
          <w:color w:val="000000"/>
          <w:sz w:val="24"/>
          <w:szCs w:val="24"/>
        </w:rPr>
        <w:t> (Albuquerque: University of New Mexico Press, 2007).</w:t>
      </w:r>
    </w:p>
    <w:p w14:paraId="01607DF8"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For marriage and family life in China, see Kay Ann Johnson, </w:t>
      </w:r>
      <w:r w:rsidRPr="00EC425E">
        <w:rPr>
          <w:rFonts w:ascii="inherit" w:eastAsia="Times New Roman" w:hAnsi="inherit" w:cs="Times New Roman"/>
          <w:i/>
          <w:iCs/>
          <w:color w:val="000000"/>
          <w:sz w:val="24"/>
          <w:szCs w:val="24"/>
          <w:bdr w:val="none" w:sz="0" w:space="0" w:color="auto" w:frame="1"/>
        </w:rPr>
        <w:t>Women, the</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Family, and Peasant Revolution in China</w:t>
      </w:r>
      <w:r w:rsidRPr="00EC425E">
        <w:rPr>
          <w:rFonts w:ascii="Cambria" w:eastAsia="Times New Roman" w:hAnsi="Cambria" w:cs="Times New Roman"/>
          <w:color w:val="000000"/>
          <w:sz w:val="24"/>
          <w:szCs w:val="24"/>
        </w:rPr>
        <w:t> (Chicago: University ofChicago Press, 1983); Lloyd Eastman, </w:t>
      </w:r>
      <w:r w:rsidRPr="00EC425E">
        <w:rPr>
          <w:rFonts w:ascii="inherit" w:eastAsia="Times New Roman" w:hAnsi="inherit" w:cs="Times New Roman"/>
          <w:i/>
          <w:iCs/>
          <w:color w:val="000000"/>
          <w:sz w:val="24"/>
          <w:szCs w:val="24"/>
          <w:bdr w:val="none" w:sz="0" w:space="0" w:color="auto" w:frame="1"/>
        </w:rPr>
        <w:t>Family, Fields, and Ancestors: Constancy and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Change in China’s Social and Economic History, 1550-1949</w:t>
      </w:r>
      <w:r w:rsidRPr="00EC425E">
        <w:rPr>
          <w:rFonts w:ascii="Cambria" w:eastAsia="Times New Roman" w:hAnsi="Cambria" w:cs="Times New Roman"/>
          <w:color w:val="000000"/>
          <w:sz w:val="24"/>
          <w:szCs w:val="24"/>
        </w:rPr>
        <w:t>(New York: Oxford University Press, 1988); Rubie S. Watson and Patricia Buckley Ebrey, </w:t>
      </w:r>
      <w:r w:rsidRPr="00EC425E">
        <w:rPr>
          <w:rFonts w:ascii="inherit" w:eastAsia="Times New Roman" w:hAnsi="inherit" w:cs="Times New Roman"/>
          <w:i/>
          <w:iCs/>
          <w:color w:val="000000"/>
          <w:sz w:val="24"/>
          <w:szCs w:val="24"/>
          <w:bdr w:val="none" w:sz="0" w:space="0" w:color="auto" w:frame="1"/>
        </w:rPr>
        <w:t>Marriage and Inequality in Chinese Society</w:t>
      </w:r>
      <w:r w:rsidRPr="00EC425E">
        <w:rPr>
          <w:rFonts w:ascii="Cambria" w:eastAsia="Times New Roman" w:hAnsi="Cambria" w:cs="Times New Roman"/>
          <w:color w:val="000000"/>
          <w:sz w:val="24"/>
          <w:szCs w:val="24"/>
        </w:rPr>
        <w:t> (Berkeley:University of California Press, 1991); Patricia Buckley Ebrey, </w:t>
      </w:r>
      <w:r w:rsidRPr="00EC425E">
        <w:rPr>
          <w:rFonts w:ascii="inherit" w:eastAsia="Times New Roman" w:hAnsi="inherit" w:cs="Times New Roman"/>
          <w:i/>
          <w:iCs/>
          <w:color w:val="000000"/>
          <w:sz w:val="24"/>
          <w:szCs w:val="24"/>
          <w:bdr w:val="none" w:sz="0" w:space="0" w:color="auto" w:frame="1"/>
        </w:rPr>
        <w:t>The Inner Quarters:</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Marriage and the Lives of Chinese Women in the Sung Period</w:t>
      </w:r>
      <w:r w:rsidRPr="00EC425E">
        <w:rPr>
          <w:rFonts w:ascii="Cambria" w:eastAsia="Times New Roman" w:hAnsi="Cambria" w:cs="Times New Roman"/>
          <w:color w:val="000000"/>
          <w:sz w:val="24"/>
          <w:szCs w:val="24"/>
        </w:rPr>
        <w:t>(Berkeley: University of California Press, 1993). For other parts of Asia and the Pacific, see Margaret Jolly and Martha Macintyre, </w:t>
      </w:r>
      <w:r w:rsidRPr="00EC425E">
        <w:rPr>
          <w:rFonts w:ascii="inherit" w:eastAsia="Times New Roman" w:hAnsi="inherit" w:cs="Times New Roman"/>
          <w:i/>
          <w:iCs/>
          <w:color w:val="000000"/>
          <w:sz w:val="24"/>
          <w:szCs w:val="24"/>
          <w:bdr w:val="none" w:sz="0" w:space="0" w:color="auto" w:frame="1"/>
        </w:rPr>
        <w:t>Family andGender in the Pacific: Domestic Contradictions and the Colonial Impact</w:t>
      </w:r>
      <w:r w:rsidRPr="00EC425E">
        <w:rPr>
          <w:rFonts w:ascii="Cambria" w:eastAsia="Times New Roman" w:hAnsi="Cambria" w:cs="Times New Roman"/>
          <w:color w:val="000000"/>
          <w:sz w:val="24"/>
          <w:szCs w:val="24"/>
        </w:rPr>
        <w:t> (Cambridge: Cambridge University Press, 1989); Gloria Goodwin Rahejaand Ann Grodzins Gold, </w:t>
      </w:r>
      <w:r w:rsidRPr="00EC425E">
        <w:rPr>
          <w:rFonts w:ascii="inherit" w:eastAsia="Times New Roman" w:hAnsi="inherit" w:cs="Times New Roman"/>
          <w:i/>
          <w:iCs/>
          <w:color w:val="000000"/>
          <w:sz w:val="24"/>
          <w:szCs w:val="24"/>
          <w:bdr w:val="none" w:sz="0" w:space="0" w:color="auto" w:frame="1"/>
        </w:rPr>
        <w:t>Listen to the Heron’s Words: Reimagining Gender and Kinship in North India</w:t>
      </w:r>
      <w:r w:rsidRPr="00EC425E">
        <w:rPr>
          <w:rFonts w:ascii="Cambria" w:eastAsia="Times New Roman" w:hAnsi="Cambria" w:cs="Times New Roman"/>
          <w:color w:val="000000"/>
          <w:sz w:val="24"/>
          <w:szCs w:val="24"/>
        </w:rPr>
        <w:t> (Berkeley: University of California Press,1994); Laurel Kendall, </w:t>
      </w:r>
      <w:r w:rsidRPr="00EC425E">
        <w:rPr>
          <w:rFonts w:ascii="inherit" w:eastAsia="Times New Roman" w:hAnsi="inherit" w:cs="Times New Roman"/>
          <w:i/>
          <w:iCs/>
          <w:color w:val="000000"/>
          <w:sz w:val="24"/>
          <w:szCs w:val="24"/>
          <w:bdr w:val="none" w:sz="0" w:space="0" w:color="auto" w:frame="1"/>
        </w:rPr>
        <w:t>Getting Married in Korea: Of Gender, Morality, and Modernity</w:t>
      </w:r>
      <w:r w:rsidRPr="00EC425E">
        <w:rPr>
          <w:rFonts w:ascii="Cambria" w:eastAsia="Times New Roman" w:hAnsi="Cambria" w:cs="Times New Roman"/>
          <w:color w:val="000000"/>
          <w:sz w:val="24"/>
          <w:szCs w:val="24"/>
        </w:rPr>
        <w:t> (Berkeley: University of California Press, 1996); HaraldFuess, </w:t>
      </w:r>
      <w:r w:rsidRPr="00EC425E">
        <w:rPr>
          <w:rFonts w:ascii="inherit" w:eastAsia="Times New Roman" w:hAnsi="inherit" w:cs="Times New Roman"/>
          <w:i/>
          <w:iCs/>
          <w:color w:val="000000"/>
          <w:sz w:val="24"/>
          <w:szCs w:val="24"/>
          <w:bdr w:val="none" w:sz="0" w:space="0" w:color="auto" w:frame="1"/>
        </w:rPr>
        <w:t>Divorce in Japan:</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Family, Gender, and the State, 1600–2000</w:t>
      </w:r>
      <w:r w:rsidRPr="00EC425E">
        <w:rPr>
          <w:rFonts w:ascii="Cambria" w:eastAsia="Times New Roman" w:hAnsi="Cambria" w:cs="Times New Roman"/>
          <w:color w:val="000000"/>
          <w:sz w:val="24"/>
          <w:szCs w:val="24"/>
        </w:rPr>
        <w:t> (Stanford, CA: Stanford University Press, 2004).</w:t>
      </w:r>
    </w:p>
    <w:p w14:paraId="6DCD3FF9"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For Africa, see Sarah Le Vine, </w:t>
      </w:r>
      <w:r w:rsidRPr="00EC425E">
        <w:rPr>
          <w:rFonts w:ascii="inherit" w:eastAsia="Times New Roman" w:hAnsi="inherit" w:cs="Times New Roman"/>
          <w:i/>
          <w:iCs/>
          <w:color w:val="000000"/>
          <w:sz w:val="24"/>
          <w:szCs w:val="24"/>
          <w:bdr w:val="none" w:sz="0" w:space="0" w:color="auto" w:frame="1"/>
        </w:rPr>
        <w:t>Mothers and Wives: Gusii Women of East</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Africa</w:t>
      </w:r>
      <w:r w:rsidRPr="00EC425E">
        <w:rPr>
          <w:rFonts w:ascii="Cambria" w:eastAsia="Times New Roman" w:hAnsi="Cambria" w:cs="Times New Roman"/>
          <w:color w:val="000000"/>
          <w:sz w:val="24"/>
          <w:szCs w:val="24"/>
        </w:rPr>
        <w:t> (Chicago: University of Chicago Press, 1979); Caroline Bledsoe,</w:t>
      </w:r>
      <w:r w:rsidRPr="00EC425E">
        <w:rPr>
          <w:rFonts w:ascii="inherit" w:eastAsia="Times New Roman" w:hAnsi="inherit" w:cs="Times New Roman"/>
          <w:i/>
          <w:iCs/>
          <w:color w:val="000000"/>
          <w:sz w:val="24"/>
          <w:szCs w:val="24"/>
          <w:bdr w:val="none" w:sz="0" w:space="0" w:color="auto" w:frame="1"/>
        </w:rPr>
        <w:t>Women and Marriage in Kpelle Society</w:t>
      </w:r>
      <w:r w:rsidRPr="00EC425E">
        <w:rPr>
          <w:rFonts w:ascii="Cambria" w:eastAsia="Times New Roman" w:hAnsi="Cambria" w:cs="Times New Roman"/>
          <w:color w:val="000000"/>
          <w:sz w:val="24"/>
          <w:szCs w:val="24"/>
        </w:rPr>
        <w:t> (Stanford, CA: Stanford University Press, 1980); Kristin Mann, </w:t>
      </w:r>
      <w:r w:rsidRPr="00EC425E">
        <w:rPr>
          <w:rFonts w:ascii="inherit" w:eastAsia="Times New Roman" w:hAnsi="inherit" w:cs="Times New Roman"/>
          <w:i/>
          <w:iCs/>
          <w:color w:val="000000"/>
          <w:sz w:val="24"/>
          <w:szCs w:val="24"/>
          <w:bdr w:val="none" w:sz="0" w:space="0" w:color="auto" w:frame="1"/>
        </w:rPr>
        <w:t>Marrying Well: Marriage, Status andSocial</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Change among the Educated Elite in Colonial Lagos</w:t>
      </w:r>
      <w:r w:rsidRPr="00EC425E">
        <w:rPr>
          <w:rFonts w:ascii="Cambria" w:eastAsia="Times New Roman" w:hAnsi="Cambria" w:cs="Times New Roman"/>
          <w:color w:val="000000"/>
          <w:sz w:val="24"/>
          <w:szCs w:val="24"/>
        </w:rPr>
        <w:t> (Cambridge: Cambridge University Press, 1995); Ifi Amadiume, </w:t>
      </w:r>
      <w:r w:rsidRPr="00EC425E">
        <w:rPr>
          <w:rFonts w:ascii="inherit" w:eastAsia="Times New Roman" w:hAnsi="inherit" w:cs="Times New Roman"/>
          <w:i/>
          <w:iCs/>
          <w:color w:val="000000"/>
          <w:sz w:val="24"/>
          <w:szCs w:val="24"/>
          <w:bdr w:val="none" w:sz="0" w:space="0" w:color="auto" w:frame="1"/>
        </w:rPr>
        <w:t>Male Daughters,Female Husbands: Gender and Sex in an African Society</w:t>
      </w:r>
      <w:r w:rsidRPr="00EC425E">
        <w:rPr>
          <w:rFonts w:ascii="Cambria" w:eastAsia="Times New Roman" w:hAnsi="Cambria" w:cs="Times New Roman"/>
          <w:color w:val="000000"/>
          <w:sz w:val="24"/>
          <w:szCs w:val="24"/>
        </w:rPr>
        <w:t> (London: Zed Books, 1987); Barbara M. Cooper, </w:t>
      </w:r>
      <w:r w:rsidRPr="00EC425E">
        <w:rPr>
          <w:rFonts w:ascii="inherit" w:eastAsia="Times New Roman" w:hAnsi="inherit" w:cs="Times New Roman"/>
          <w:i/>
          <w:iCs/>
          <w:color w:val="000000"/>
          <w:sz w:val="24"/>
          <w:szCs w:val="24"/>
          <w:bdr w:val="none" w:sz="0" w:space="0" w:color="auto" w:frame="1"/>
        </w:rPr>
        <w:t>Marriage in Maradi: Gender and Culturein a Hausa Society in</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Niger, 1900–1989</w:t>
      </w:r>
      <w:r w:rsidRPr="00EC425E">
        <w:rPr>
          <w:rFonts w:ascii="Cambria" w:eastAsia="Times New Roman" w:hAnsi="Cambria" w:cs="Times New Roman"/>
          <w:color w:val="000000"/>
          <w:sz w:val="24"/>
          <w:szCs w:val="24"/>
        </w:rPr>
        <w:t> (Portsmouth, NH: Heinemann, 1997); Jean Davison, </w:t>
      </w:r>
      <w:r w:rsidRPr="00EC425E">
        <w:rPr>
          <w:rFonts w:ascii="inherit" w:eastAsia="Times New Roman" w:hAnsi="inherit" w:cs="Times New Roman"/>
          <w:i/>
          <w:iCs/>
          <w:color w:val="000000"/>
          <w:sz w:val="24"/>
          <w:szCs w:val="24"/>
          <w:bdr w:val="none" w:sz="0" w:space="0" w:color="auto" w:frame="1"/>
        </w:rPr>
        <w:t>Gender, Lineage, and Ethnicity in Southern Africa</w:t>
      </w:r>
      <w:r w:rsidRPr="00EC425E">
        <w:rPr>
          <w:rFonts w:ascii="Cambria" w:eastAsia="Times New Roman" w:hAnsi="Cambria" w:cs="Times New Roman"/>
          <w:color w:val="000000"/>
          <w:sz w:val="24"/>
          <w:szCs w:val="24"/>
        </w:rPr>
        <w:t>(Boulder, CO: Westview Press, 1997); Lisa Cliggett, </w:t>
      </w:r>
      <w:r w:rsidRPr="00EC425E">
        <w:rPr>
          <w:rFonts w:ascii="inherit" w:eastAsia="Times New Roman" w:hAnsi="inherit" w:cs="Times New Roman"/>
          <w:i/>
          <w:iCs/>
          <w:color w:val="000000"/>
          <w:sz w:val="24"/>
          <w:szCs w:val="24"/>
          <w:bdr w:val="none" w:sz="0" w:space="0" w:color="auto" w:frame="1"/>
        </w:rPr>
        <w:t>Grains from Grass: Aging, Gender, and Famine</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in Rural Africa</w:t>
      </w:r>
      <w:r w:rsidRPr="00EC425E">
        <w:rPr>
          <w:rFonts w:ascii="Cambria" w:eastAsia="Times New Roman" w:hAnsi="Cambria" w:cs="Times New Roman"/>
          <w:color w:val="000000"/>
          <w:sz w:val="24"/>
          <w:szCs w:val="24"/>
        </w:rPr>
        <w:t> (Ithaca, NY: Cornell UniversityPress, 2005); Brett Lindsay Shadle, </w:t>
      </w:r>
      <w:r w:rsidRPr="00EC425E">
        <w:rPr>
          <w:rFonts w:ascii="inherit" w:eastAsia="Times New Roman" w:hAnsi="inherit" w:cs="Times New Roman"/>
          <w:i/>
          <w:iCs/>
          <w:color w:val="000000"/>
          <w:sz w:val="24"/>
          <w:szCs w:val="24"/>
          <w:bdr w:val="none" w:sz="0" w:space="0" w:color="auto" w:frame="1"/>
        </w:rPr>
        <w:t>“Girl Cases”: Marriage and Colonialism in Gusiiland, Kenya, 1890–1970</w:t>
      </w:r>
      <w:r w:rsidRPr="00EC425E">
        <w:rPr>
          <w:rFonts w:ascii="Cambria" w:eastAsia="Times New Roman" w:hAnsi="Cambria" w:cs="Times New Roman"/>
          <w:color w:val="000000"/>
          <w:sz w:val="24"/>
          <w:szCs w:val="24"/>
        </w:rPr>
        <w:t> (Portsmouth, NH: Heinemann,2006).</w:t>
      </w:r>
    </w:p>
    <w:p w14:paraId="761C2C17"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For the Middle East and the Ottoman Empire, see Elizabeth Warneck Fernea, ed., </w:t>
      </w:r>
      <w:r w:rsidRPr="00EC425E">
        <w:rPr>
          <w:rFonts w:ascii="inherit" w:eastAsia="Times New Roman" w:hAnsi="inherit" w:cs="Times New Roman"/>
          <w:i/>
          <w:iCs/>
          <w:color w:val="000000"/>
          <w:sz w:val="24"/>
          <w:szCs w:val="24"/>
          <w:bdr w:val="none" w:sz="0" w:space="0" w:color="auto" w:frame="1"/>
        </w:rPr>
        <w:t>Women and the Family in the Middle East: New Voices ofChange</w:t>
      </w:r>
      <w:r w:rsidRPr="00EC425E">
        <w:rPr>
          <w:rFonts w:ascii="Cambria" w:eastAsia="Times New Roman" w:hAnsi="Cambria" w:cs="Times New Roman"/>
          <w:color w:val="000000"/>
          <w:sz w:val="24"/>
          <w:szCs w:val="24"/>
        </w:rPr>
        <w:t> (Austin: University of Texas Press, 1985); Alan Duben and Cem Behar, </w:t>
      </w:r>
      <w:r w:rsidRPr="00EC425E">
        <w:rPr>
          <w:rFonts w:ascii="inherit" w:eastAsia="Times New Roman" w:hAnsi="inherit" w:cs="Times New Roman"/>
          <w:i/>
          <w:iCs/>
          <w:color w:val="000000"/>
          <w:sz w:val="24"/>
          <w:szCs w:val="24"/>
          <w:bdr w:val="none" w:sz="0" w:space="0" w:color="auto" w:frame="1"/>
        </w:rPr>
        <w:t>Istanbul Households: Marriage, Family, and Fertility, 1880-1940</w:t>
      </w:r>
      <w:r w:rsidRPr="00EC425E">
        <w:rPr>
          <w:rFonts w:ascii="Cambria" w:eastAsia="Times New Roman" w:hAnsi="Cambria" w:cs="Times New Roman"/>
          <w:color w:val="000000"/>
          <w:sz w:val="24"/>
          <w:szCs w:val="24"/>
        </w:rPr>
        <w:t>(Cambridge: Cambridge University Press, 1991); Margaret Meriwether, </w:t>
      </w:r>
      <w:r w:rsidRPr="00EC425E">
        <w:rPr>
          <w:rFonts w:ascii="inherit" w:eastAsia="Times New Roman" w:hAnsi="inherit" w:cs="Times New Roman"/>
          <w:i/>
          <w:iCs/>
          <w:color w:val="000000"/>
          <w:sz w:val="24"/>
          <w:szCs w:val="24"/>
          <w:bdr w:val="none" w:sz="0" w:space="0" w:color="auto" w:frame="1"/>
        </w:rPr>
        <w:t>The</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Kin Who Count: Family and Society in Ottoman Aleppo</w:t>
      </w:r>
      <w:r w:rsidRPr="00EC425E">
        <w:rPr>
          <w:rFonts w:ascii="Cambria" w:eastAsia="Times New Roman" w:hAnsi="Cambria" w:cs="Times New Roman"/>
          <w:color w:val="000000"/>
          <w:sz w:val="24"/>
          <w:szCs w:val="24"/>
        </w:rPr>
        <w:t> (Austin:University of Texas Press, 1999); Margaret Meriwether and Judith Tucker, eds., </w:t>
      </w:r>
      <w:r w:rsidRPr="00EC425E">
        <w:rPr>
          <w:rFonts w:ascii="inherit" w:eastAsia="Times New Roman" w:hAnsi="inherit" w:cs="Times New Roman"/>
          <w:i/>
          <w:iCs/>
          <w:color w:val="000000"/>
          <w:sz w:val="24"/>
          <w:szCs w:val="24"/>
          <w:bdr w:val="none" w:sz="0" w:space="0" w:color="auto" w:frame="1"/>
        </w:rPr>
        <w:t>A</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Social History of Women and the Family in the Middle East</w:t>
      </w:r>
      <w:r w:rsidRPr="00EC425E">
        <w:rPr>
          <w:rFonts w:ascii="Cambria" w:eastAsia="Times New Roman" w:hAnsi="Cambria" w:cs="Times New Roman"/>
          <w:color w:val="000000"/>
          <w:sz w:val="24"/>
          <w:szCs w:val="24"/>
        </w:rPr>
        <w:t>(Boulder, CO: Westview Press, 1999); Beshara Doumani, ed., </w:t>
      </w:r>
      <w:r w:rsidRPr="00EC425E">
        <w:rPr>
          <w:rFonts w:ascii="inherit" w:eastAsia="Times New Roman" w:hAnsi="inherit" w:cs="Times New Roman"/>
          <w:i/>
          <w:iCs/>
          <w:color w:val="000000"/>
          <w:sz w:val="24"/>
          <w:szCs w:val="24"/>
          <w:bdr w:val="none" w:sz="0" w:space="0" w:color="auto" w:frame="1"/>
        </w:rPr>
        <w:t>Family History in the Middle East: Household, Property, and Gender</w:t>
      </w:r>
      <w:r w:rsidRPr="00EC425E">
        <w:rPr>
          <w:rFonts w:ascii="Cambria" w:eastAsia="Times New Roman" w:hAnsi="Cambria" w:cs="Times New Roman"/>
          <w:color w:val="000000"/>
          <w:sz w:val="24"/>
          <w:szCs w:val="24"/>
        </w:rPr>
        <w:t> (Albany: StateUniversity of New York Press, 2003); Iris Agmon, </w:t>
      </w:r>
      <w:r w:rsidRPr="00EC425E">
        <w:rPr>
          <w:rFonts w:ascii="inherit" w:eastAsia="Times New Roman" w:hAnsi="inherit" w:cs="Times New Roman"/>
          <w:i/>
          <w:iCs/>
          <w:color w:val="000000"/>
          <w:sz w:val="24"/>
          <w:szCs w:val="24"/>
          <w:bdr w:val="none" w:sz="0" w:space="0" w:color="auto" w:frame="1"/>
        </w:rPr>
        <w:t>Family and Court: Legal Culture and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Modernity in Late Ottoman Palestine</w:t>
      </w:r>
      <w:r w:rsidRPr="00EC425E">
        <w:rPr>
          <w:rFonts w:ascii="Cambria" w:eastAsia="Times New Roman" w:hAnsi="Cambria" w:cs="Times New Roman"/>
          <w:color w:val="000000"/>
          <w:sz w:val="24"/>
          <w:szCs w:val="24"/>
        </w:rPr>
        <w:t> (Syracuse, NY:Syracuse University Press, 2006).</w:t>
      </w:r>
    </w:p>
    <w:p w14:paraId="31D464AB"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 history of the family in the United States has been very well studied, and there is an extensive bibliography in Joseph M. Hawes andElizabeth I. Nybakken, eds., </w:t>
      </w:r>
      <w:r w:rsidRPr="00EC425E">
        <w:rPr>
          <w:rFonts w:ascii="inherit" w:eastAsia="Times New Roman" w:hAnsi="inherit" w:cs="Times New Roman"/>
          <w:i/>
          <w:iCs/>
          <w:color w:val="000000"/>
          <w:sz w:val="24"/>
          <w:szCs w:val="24"/>
          <w:bdr w:val="none" w:sz="0" w:space="0" w:color="auto" w:frame="1"/>
        </w:rPr>
        <w:t>American Familie</w:t>
      </w:r>
      <w:r w:rsidRPr="00EC425E">
        <w:rPr>
          <w:rFonts w:ascii="inherit" w:eastAsia="Times New Roman" w:hAnsi="inherit" w:cs="Times New Roman"/>
          <w:i/>
          <w:iCs/>
          <w:color w:val="000000"/>
          <w:sz w:val="24"/>
          <w:szCs w:val="24"/>
          <w:bdr w:val="none" w:sz="0" w:space="0" w:color="auto" w:frame="1"/>
        </w:rPr>
        <w:lastRenderedPageBreak/>
        <w:t>s: A Research Guide and Historical</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Handbook</w:t>
      </w:r>
      <w:r w:rsidRPr="00EC425E">
        <w:rPr>
          <w:rFonts w:ascii="Cambria" w:eastAsia="Times New Roman" w:hAnsi="Cambria" w:cs="Times New Roman"/>
          <w:color w:val="000000"/>
          <w:sz w:val="24"/>
          <w:szCs w:val="24"/>
        </w:rPr>
        <w:t> (New York: Greenwood, 1991). Just a few of themany recent works include Steven Mintz and Susan Kellogg, </w:t>
      </w:r>
      <w:r w:rsidRPr="00EC425E">
        <w:rPr>
          <w:rFonts w:ascii="inherit" w:eastAsia="Times New Roman" w:hAnsi="inherit" w:cs="Times New Roman"/>
          <w:i/>
          <w:iCs/>
          <w:color w:val="000000"/>
          <w:sz w:val="24"/>
          <w:szCs w:val="24"/>
          <w:bdr w:val="none" w:sz="0" w:space="0" w:color="auto" w:frame="1"/>
        </w:rPr>
        <w:t>Domestic Revolutions: A</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Social History of American Family Life</w:t>
      </w:r>
      <w:r w:rsidRPr="00EC425E">
        <w:rPr>
          <w:rFonts w:ascii="Cambria" w:eastAsia="Times New Roman" w:hAnsi="Cambria" w:cs="Times New Roman"/>
          <w:color w:val="000000"/>
          <w:sz w:val="24"/>
          <w:szCs w:val="24"/>
        </w:rPr>
        <w:t> (New York: FreePress, 1988); Carole Shammas, </w:t>
      </w:r>
      <w:r w:rsidRPr="00EC425E">
        <w:rPr>
          <w:rFonts w:ascii="inherit" w:eastAsia="Times New Roman" w:hAnsi="inherit" w:cs="Times New Roman"/>
          <w:i/>
          <w:iCs/>
          <w:color w:val="000000"/>
          <w:sz w:val="24"/>
          <w:szCs w:val="24"/>
          <w:bdr w:val="none" w:sz="0" w:space="0" w:color="auto" w:frame="1"/>
        </w:rPr>
        <w:t>A History of Household Government in America</w:t>
      </w:r>
      <w:r w:rsidRPr="00EC425E">
        <w:rPr>
          <w:rFonts w:ascii="Cambria" w:eastAsia="Times New Roman" w:hAnsi="Cambria" w:cs="Times New Roman"/>
          <w:color w:val="000000"/>
          <w:sz w:val="24"/>
          <w:szCs w:val="24"/>
        </w:rPr>
        <w:t> (Charlottesville: University of Virginia Press, 2002); Joseph M.Hawes and Elizabeth I. Nybakken, eds., </w:t>
      </w:r>
      <w:r w:rsidRPr="00EC425E">
        <w:rPr>
          <w:rFonts w:ascii="inherit" w:eastAsia="Times New Roman" w:hAnsi="inherit" w:cs="Times New Roman"/>
          <w:i/>
          <w:iCs/>
          <w:color w:val="000000"/>
          <w:sz w:val="24"/>
          <w:szCs w:val="24"/>
          <w:bdr w:val="none" w:sz="0" w:space="0" w:color="auto" w:frame="1"/>
        </w:rPr>
        <w:t>Family and Society in American History</w:t>
      </w:r>
      <w:r w:rsidRPr="00EC425E">
        <w:rPr>
          <w:rFonts w:ascii="Cambria" w:eastAsia="Times New Roman" w:hAnsi="Cambria" w:cs="Times New Roman"/>
          <w:color w:val="000000"/>
          <w:sz w:val="24"/>
          <w:szCs w:val="24"/>
        </w:rPr>
        <w:t> (Urbana: University of Illinois Press, 2001).</w:t>
      </w:r>
    </w:p>
    <w:p w14:paraId="3C26C6C4"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For studies that focus on twentieth and twenty-first century issues around the world, see Rae Lesser Blumberg, ed., </w:t>
      </w:r>
      <w:r w:rsidRPr="00EC425E">
        <w:rPr>
          <w:rFonts w:ascii="inherit" w:eastAsia="Times New Roman" w:hAnsi="inherit" w:cs="Times New Roman"/>
          <w:i/>
          <w:iCs/>
          <w:color w:val="000000"/>
          <w:sz w:val="24"/>
          <w:szCs w:val="24"/>
          <w:bdr w:val="none" w:sz="0" w:space="0" w:color="auto" w:frame="1"/>
        </w:rPr>
        <w:t>Gender, Family andEconomy: The Triple Overlap</w:t>
      </w:r>
      <w:r w:rsidRPr="00EC425E">
        <w:rPr>
          <w:rFonts w:ascii="Cambria" w:eastAsia="Times New Roman" w:hAnsi="Cambria" w:cs="Times New Roman"/>
          <w:color w:val="000000"/>
          <w:sz w:val="24"/>
          <w:szCs w:val="24"/>
        </w:rPr>
        <w:t> (Newbury Park, CA: Sage, 1991); Esther Chow and Catherine Berheide, </w:t>
      </w:r>
      <w:r w:rsidRPr="00EC425E">
        <w:rPr>
          <w:rFonts w:ascii="inherit" w:eastAsia="Times New Roman" w:hAnsi="inherit" w:cs="Times New Roman"/>
          <w:i/>
          <w:iCs/>
          <w:color w:val="000000"/>
          <w:sz w:val="24"/>
          <w:szCs w:val="24"/>
          <w:bdr w:val="none" w:sz="0" w:space="0" w:color="auto" w:frame="1"/>
        </w:rPr>
        <w:t>Women, the Family and Policy: A GlobalPerspective</w:t>
      </w:r>
      <w:r w:rsidRPr="00EC425E">
        <w:rPr>
          <w:rFonts w:ascii="Cambria" w:eastAsia="Times New Roman" w:hAnsi="Cambria" w:cs="Times New Roman"/>
          <w:color w:val="000000"/>
          <w:sz w:val="24"/>
          <w:szCs w:val="24"/>
        </w:rPr>
        <w:t> (Albany: State University of New York Press, 1994); Jennifer Cole and Deborah Lynn Durham, eds., </w:t>
      </w:r>
      <w:r w:rsidRPr="00EC425E">
        <w:rPr>
          <w:rFonts w:ascii="inherit" w:eastAsia="Times New Roman" w:hAnsi="inherit" w:cs="Times New Roman"/>
          <w:i/>
          <w:iCs/>
          <w:color w:val="000000"/>
          <w:sz w:val="24"/>
          <w:szCs w:val="24"/>
          <w:bdr w:val="none" w:sz="0" w:space="0" w:color="auto" w:frame="1"/>
        </w:rPr>
        <w:t>Generations and Globalization:Youth, Age, and Family in</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the New World Economy</w:t>
      </w:r>
      <w:r w:rsidRPr="00EC425E">
        <w:rPr>
          <w:rFonts w:ascii="Cambria" w:eastAsia="Times New Roman" w:hAnsi="Cambria" w:cs="Times New Roman"/>
          <w:color w:val="000000"/>
          <w:sz w:val="24"/>
          <w:szCs w:val="24"/>
        </w:rPr>
        <w:t> (Bloomington: Indiana University Press, 2007). Daniel Bertaux and Paul Thompson, </w:t>
      </w:r>
      <w:r w:rsidRPr="00EC425E">
        <w:rPr>
          <w:rFonts w:ascii="inherit" w:eastAsia="Times New Roman" w:hAnsi="inherit" w:cs="Times New Roman"/>
          <w:i/>
          <w:iCs/>
          <w:color w:val="000000"/>
          <w:sz w:val="24"/>
          <w:szCs w:val="24"/>
          <w:bdr w:val="none" w:sz="0" w:space="0" w:color="auto" w:frame="1"/>
        </w:rPr>
        <w:t>Between Generations: Family Models,</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Myths, and Memories</w:t>
      </w:r>
      <w:r w:rsidRPr="00EC425E">
        <w:rPr>
          <w:rFonts w:ascii="Cambria" w:eastAsia="Times New Roman" w:hAnsi="Cambria" w:cs="Times New Roman"/>
          <w:color w:val="000000"/>
          <w:sz w:val="24"/>
          <w:szCs w:val="24"/>
        </w:rPr>
        <w:t> (Oxford: Oxford University Press, 1993) and John R. Gillis, </w:t>
      </w:r>
      <w:r w:rsidRPr="00EC425E">
        <w:rPr>
          <w:rFonts w:ascii="inherit" w:eastAsia="Times New Roman" w:hAnsi="inherit" w:cs="Times New Roman"/>
          <w:i/>
          <w:iCs/>
          <w:color w:val="000000"/>
          <w:sz w:val="24"/>
          <w:szCs w:val="24"/>
          <w:bdr w:val="none" w:sz="0" w:space="0" w:color="auto" w:frame="1"/>
        </w:rPr>
        <w:t>A World of Their OwnMaking: Myth, Ritual and the Quest for</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Family Values</w:t>
      </w:r>
      <w:r w:rsidRPr="00EC425E">
        <w:rPr>
          <w:rFonts w:ascii="Cambria" w:eastAsia="Times New Roman" w:hAnsi="Cambria" w:cs="Times New Roman"/>
          <w:color w:val="000000"/>
          <w:sz w:val="24"/>
          <w:szCs w:val="24"/>
        </w:rPr>
        <w:t> (New York: Basic Books, 1996) make excellent use of interviews and oral history alongwith other sources to explore contemporary notions (often mythological) about family history. Studies that specifically examine reproductionand contraception in the twentieth and twenty-first centuries include Janet Smith, </w:t>
      </w:r>
      <w:r w:rsidRPr="00EC425E">
        <w:rPr>
          <w:rFonts w:ascii="inherit" w:eastAsia="Times New Roman" w:hAnsi="inherit" w:cs="Times New Roman"/>
          <w:i/>
          <w:iCs/>
          <w:color w:val="000000"/>
          <w:sz w:val="24"/>
          <w:szCs w:val="24"/>
          <w:bdr w:val="none" w:sz="0" w:space="0" w:color="auto" w:frame="1"/>
        </w:rPr>
        <w:t>Humanae Vitae: A Generation Later</w:t>
      </w:r>
      <w:r w:rsidRPr="00EC425E">
        <w:rPr>
          <w:rFonts w:ascii="Cambria" w:eastAsia="Times New Roman" w:hAnsi="Cambria" w:cs="Times New Roman"/>
          <w:color w:val="000000"/>
          <w:sz w:val="24"/>
          <w:szCs w:val="24"/>
        </w:rPr>
        <w:t> (Washington: CatholicUniversity Press, 1991); Faye Ginsburg and Rayna Rapp, eds., </w:t>
      </w:r>
      <w:r w:rsidRPr="00EC425E">
        <w:rPr>
          <w:rFonts w:ascii="inherit" w:eastAsia="Times New Roman" w:hAnsi="inherit" w:cs="Times New Roman"/>
          <w:i/>
          <w:iCs/>
          <w:color w:val="000000"/>
          <w:sz w:val="24"/>
          <w:szCs w:val="24"/>
          <w:bdr w:val="none" w:sz="0" w:space="0" w:color="auto" w:frame="1"/>
        </w:rPr>
        <w:t>Conceiving the New World Order: The Global Politics of</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Reproduction</w:t>
      </w:r>
      <w:r w:rsidRPr="00EC425E">
        <w:rPr>
          <w:rFonts w:ascii="Cambria" w:eastAsia="Times New Roman" w:hAnsi="Cambria" w:cs="Times New Roman"/>
          <w:color w:val="000000"/>
          <w:sz w:val="24"/>
          <w:szCs w:val="24"/>
        </w:rPr>
        <w:t> (Berkeley:University of California Press, 1995); Gita Sen, Adrienne Germain, and Lincoln Chan, eds., </w:t>
      </w:r>
      <w:r w:rsidRPr="00EC425E">
        <w:rPr>
          <w:rFonts w:ascii="inherit" w:eastAsia="Times New Roman" w:hAnsi="inherit" w:cs="Times New Roman"/>
          <w:i/>
          <w:iCs/>
          <w:color w:val="000000"/>
          <w:sz w:val="24"/>
          <w:szCs w:val="24"/>
          <w:bdr w:val="none" w:sz="0" w:space="0" w:color="auto" w:frame="1"/>
        </w:rPr>
        <w:t>Population Policies Reconsidered:</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Health,Empowerment and Rights</w:t>
      </w:r>
      <w:r w:rsidRPr="00EC425E">
        <w:rPr>
          <w:rFonts w:ascii="Cambria" w:eastAsia="Times New Roman" w:hAnsi="Cambria" w:cs="Times New Roman"/>
          <w:color w:val="000000"/>
          <w:sz w:val="24"/>
          <w:szCs w:val="24"/>
        </w:rPr>
        <w:t> (Cambridge, MA: Harvard University Press, 1994); Gabe T. Wang, </w:t>
      </w:r>
      <w:r w:rsidRPr="00EC425E">
        <w:rPr>
          <w:rFonts w:ascii="inherit" w:eastAsia="Times New Roman" w:hAnsi="inherit" w:cs="Times New Roman"/>
          <w:i/>
          <w:iCs/>
          <w:color w:val="000000"/>
          <w:sz w:val="24"/>
          <w:szCs w:val="24"/>
          <w:bdr w:val="none" w:sz="0" w:space="0" w:color="auto" w:frame="1"/>
        </w:rPr>
        <w:t>China’s Population: Problems, Thoughts andPolicies</w:t>
      </w:r>
      <w:r w:rsidRPr="00EC425E">
        <w:rPr>
          <w:rFonts w:ascii="Cambria" w:eastAsia="Times New Roman" w:hAnsi="Cambria" w:cs="Times New Roman"/>
          <w:color w:val="000000"/>
          <w:sz w:val="24"/>
          <w:szCs w:val="24"/>
        </w:rPr>
        <w:t> (Aldershot: Ashgate, 1999); Matthew James Connelly, </w:t>
      </w:r>
      <w:r w:rsidRPr="00EC425E">
        <w:rPr>
          <w:rFonts w:ascii="inherit" w:eastAsia="Times New Roman" w:hAnsi="inherit" w:cs="Times New Roman"/>
          <w:i/>
          <w:iCs/>
          <w:color w:val="000000"/>
          <w:sz w:val="24"/>
          <w:szCs w:val="24"/>
          <w:bdr w:val="none" w:sz="0" w:space="0" w:color="auto" w:frame="1"/>
        </w:rPr>
        <w:t>Fatal</w:t>
      </w:r>
      <w:r w:rsidRPr="00EC425E">
        <w:rPr>
          <w:rFonts w:ascii="Cambria" w:eastAsia="Times New Roman" w:hAnsi="Cambria" w:cs="Times New Roman"/>
          <w:color w:val="000000"/>
          <w:sz w:val="24"/>
          <w:szCs w:val="24"/>
        </w:rPr>
        <w:t> </w:t>
      </w:r>
      <w:r w:rsidRPr="00EC425E">
        <w:rPr>
          <w:rFonts w:ascii="inherit" w:eastAsia="Times New Roman" w:hAnsi="inherit" w:cs="Times New Roman"/>
          <w:i/>
          <w:iCs/>
          <w:color w:val="000000"/>
          <w:sz w:val="24"/>
          <w:szCs w:val="24"/>
          <w:bdr w:val="none" w:sz="0" w:space="0" w:color="auto" w:frame="1"/>
        </w:rPr>
        <w:t>Misconception: The Struggle to Control World Population</w:t>
      </w:r>
      <w:r w:rsidRPr="00EC425E">
        <w:rPr>
          <w:rFonts w:ascii="Cambria" w:eastAsia="Times New Roman" w:hAnsi="Cambria" w:cs="Times New Roman"/>
          <w:color w:val="000000"/>
          <w:sz w:val="24"/>
          <w:szCs w:val="24"/>
        </w:rPr>
        <w:t> (Cambridge, MA:Belknap Press, 2008).</w:t>
      </w:r>
    </w:p>
    <w:p w14:paraId="36A43475" w14:textId="77777777" w:rsidR="00EC425E" w:rsidRPr="00EC425E" w:rsidRDefault="00EC425E" w:rsidP="00EC425E">
      <w:pPr>
        <w:shd w:val="clear" w:color="auto" w:fill="FFFFFF"/>
        <w:spacing w:after="0" w:line="240" w:lineRule="auto"/>
        <w:ind w:firstLine="240"/>
        <w:rPr>
          <w:rFonts w:ascii="Cambria" w:eastAsia="Times New Roman" w:hAnsi="Cambria" w:cs="Times New Roman"/>
          <w:color w:val="000000"/>
          <w:sz w:val="24"/>
          <w:szCs w:val="24"/>
        </w:rPr>
      </w:pPr>
      <w:r w:rsidRPr="00EC425E">
        <w:rPr>
          <w:rFonts w:ascii="Cambria" w:eastAsia="Times New Roman" w:hAnsi="Cambria" w:cs="Times New Roman"/>
          <w:color w:val="000000"/>
          <w:sz w:val="24"/>
          <w:szCs w:val="24"/>
        </w:rPr>
        <w:t>There is a much longer list of suggested readings, along with links to original sources, on the website associated with this book: </w:t>
      </w:r>
      <w:hyperlink r:id="rId74" w:history="1">
        <w:r w:rsidRPr="00EC425E">
          <w:rPr>
            <w:rFonts w:ascii="inherit" w:eastAsia="Times New Roman" w:hAnsi="inherit" w:cs="Times New Roman"/>
            <w:color w:val="0069D6"/>
            <w:sz w:val="24"/>
            <w:szCs w:val="24"/>
            <w:bdr w:val="none" w:sz="0" w:space="0" w:color="auto" w:frame="1"/>
          </w:rPr>
          <w:t>www.wiley.com/go/wiesnerhanks</w:t>
        </w:r>
      </w:hyperlink>
      <w:r w:rsidRPr="00EC425E">
        <w:rPr>
          <w:rFonts w:ascii="Cambria" w:eastAsia="Times New Roman" w:hAnsi="Cambria" w:cs="Times New Roman"/>
          <w:color w:val="000000"/>
          <w:sz w:val="24"/>
          <w:szCs w:val="24"/>
        </w:rPr>
        <w:t>.</w:t>
      </w:r>
    </w:p>
    <w:p w14:paraId="547D2B85" w14:textId="77777777" w:rsidR="00EC425E" w:rsidRPr="00EC425E" w:rsidRDefault="00EC425E" w:rsidP="00EC425E">
      <w:pPr>
        <w:numPr>
          <w:ilvl w:val="0"/>
          <w:numId w:val="21"/>
        </w:numPr>
        <w:spacing w:after="0" w:line="270" w:lineRule="atLeast"/>
        <w:ind w:left="0"/>
        <w:rPr>
          <w:rFonts w:ascii="inherit" w:eastAsia="Times New Roman" w:hAnsi="inherit" w:cs="Times New Roman"/>
          <w:color w:val="808080"/>
          <w:sz w:val="20"/>
          <w:szCs w:val="20"/>
        </w:rPr>
      </w:pPr>
      <w:hyperlink r:id="rId75" w:history="1">
        <w:r w:rsidRPr="00EC425E">
          <w:rPr>
            <w:rFonts w:ascii="inherit" w:eastAsia="Times New Roman" w:hAnsi="inherit" w:cs="Times New Roman"/>
            <w:color w:val="0069D6"/>
            <w:sz w:val="20"/>
            <w:szCs w:val="20"/>
            <w:u w:val="single"/>
            <w:bdr w:val="none" w:sz="0" w:space="0" w:color="auto" w:frame="1"/>
          </w:rPr>
          <w:t>Notebook</w:t>
        </w:r>
      </w:hyperlink>
    </w:p>
    <w:p w14:paraId="022C50EC" w14:textId="77777777" w:rsidR="00EC425E" w:rsidRDefault="00EC425E" w:rsidP="00EC425E">
      <w:bookmarkStart w:id="0" w:name="_GoBack"/>
      <w:bookmarkEnd w:id="0"/>
    </w:p>
    <w:sectPr w:rsidR="00EC4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66096"/>
    <w:multiLevelType w:val="multilevel"/>
    <w:tmpl w:val="70C4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F3A70"/>
    <w:multiLevelType w:val="multilevel"/>
    <w:tmpl w:val="4AF2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8225E"/>
    <w:multiLevelType w:val="multilevel"/>
    <w:tmpl w:val="49FC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91761"/>
    <w:multiLevelType w:val="multilevel"/>
    <w:tmpl w:val="3DF8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B4E43"/>
    <w:multiLevelType w:val="multilevel"/>
    <w:tmpl w:val="39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9607C"/>
    <w:multiLevelType w:val="multilevel"/>
    <w:tmpl w:val="9408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B23128"/>
    <w:multiLevelType w:val="multilevel"/>
    <w:tmpl w:val="2A2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3062F"/>
    <w:multiLevelType w:val="multilevel"/>
    <w:tmpl w:val="F2123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6F68D7"/>
    <w:multiLevelType w:val="multilevel"/>
    <w:tmpl w:val="8392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1B13D3"/>
    <w:multiLevelType w:val="multilevel"/>
    <w:tmpl w:val="52C0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617A9"/>
    <w:multiLevelType w:val="multilevel"/>
    <w:tmpl w:val="AEE05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0D0B4A"/>
    <w:multiLevelType w:val="multilevel"/>
    <w:tmpl w:val="9366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25753E"/>
    <w:multiLevelType w:val="multilevel"/>
    <w:tmpl w:val="1EE4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3584F"/>
    <w:multiLevelType w:val="multilevel"/>
    <w:tmpl w:val="0AF2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B719C2"/>
    <w:multiLevelType w:val="multilevel"/>
    <w:tmpl w:val="C09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7F6B5C"/>
    <w:multiLevelType w:val="multilevel"/>
    <w:tmpl w:val="077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71249D"/>
    <w:multiLevelType w:val="multilevel"/>
    <w:tmpl w:val="A3B4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63BDA"/>
    <w:multiLevelType w:val="multilevel"/>
    <w:tmpl w:val="D826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C5BB9"/>
    <w:multiLevelType w:val="multilevel"/>
    <w:tmpl w:val="1996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CB62AB"/>
    <w:multiLevelType w:val="multilevel"/>
    <w:tmpl w:val="1AAC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ED003D"/>
    <w:multiLevelType w:val="multilevel"/>
    <w:tmpl w:val="884A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5"/>
  </w:num>
  <w:num w:numId="3">
    <w:abstractNumId w:val="0"/>
  </w:num>
  <w:num w:numId="4">
    <w:abstractNumId w:val="17"/>
  </w:num>
  <w:num w:numId="5">
    <w:abstractNumId w:val="16"/>
  </w:num>
  <w:num w:numId="6">
    <w:abstractNumId w:val="9"/>
  </w:num>
  <w:num w:numId="7">
    <w:abstractNumId w:val="7"/>
  </w:num>
  <w:num w:numId="8">
    <w:abstractNumId w:val="12"/>
  </w:num>
  <w:num w:numId="9">
    <w:abstractNumId w:val="1"/>
  </w:num>
  <w:num w:numId="10">
    <w:abstractNumId w:val="14"/>
  </w:num>
  <w:num w:numId="11">
    <w:abstractNumId w:val="18"/>
  </w:num>
  <w:num w:numId="12">
    <w:abstractNumId w:val="13"/>
  </w:num>
  <w:num w:numId="13">
    <w:abstractNumId w:val="4"/>
  </w:num>
  <w:num w:numId="14">
    <w:abstractNumId w:val="11"/>
  </w:num>
  <w:num w:numId="15">
    <w:abstractNumId w:val="2"/>
  </w:num>
  <w:num w:numId="16">
    <w:abstractNumId w:val="19"/>
  </w:num>
  <w:num w:numId="17">
    <w:abstractNumId w:val="6"/>
  </w:num>
  <w:num w:numId="18">
    <w:abstractNumId w:val="8"/>
  </w:num>
  <w:num w:numId="19">
    <w:abstractNumId w:val="5"/>
  </w:num>
  <w:num w:numId="20">
    <w:abstractNumId w:val="10"/>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25E"/>
    <w:rsid w:val="0033598E"/>
    <w:rsid w:val="00640500"/>
    <w:rsid w:val="00EC4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3C4E"/>
  <w15:chartTrackingRefBased/>
  <w15:docId w15:val="{5A783314-B6EA-4494-A7B9-7F1D28D74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C42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1">
    <w:name w:val="h1"/>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EC425E"/>
  </w:style>
  <w:style w:type="paragraph" w:customStyle="1" w:styleId="paraaftertitle">
    <w:name w:val="paraaftertitle"/>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C425E"/>
    <w:rPr>
      <w:rFonts w:ascii="Times New Roman" w:eastAsia="Times New Roman" w:hAnsi="Times New Roman" w:cs="Times New Roman"/>
      <w:b/>
      <w:bCs/>
      <w:kern w:val="36"/>
      <w:sz w:val="48"/>
      <w:szCs w:val="48"/>
    </w:rPr>
  </w:style>
  <w:style w:type="paragraph" w:customStyle="1" w:styleId="bookreaderbigicon">
    <w:name w:val="bookreader_bigicon"/>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C425E"/>
    <w:rPr>
      <w:color w:val="0000FF"/>
      <w:u w:val="single"/>
    </w:rPr>
  </w:style>
  <w:style w:type="character" w:styleId="FollowedHyperlink">
    <w:name w:val="FollowedHyperlink"/>
    <w:basedOn w:val="DefaultParagraphFont"/>
    <w:uiPriority w:val="99"/>
    <w:semiHidden/>
    <w:unhideWhenUsed/>
    <w:rsid w:val="00EC425E"/>
    <w:rPr>
      <w:color w:val="800080"/>
      <w:u w:val="single"/>
    </w:rPr>
  </w:style>
  <w:style w:type="paragraph" w:customStyle="1" w:styleId="bookreadertinyicon">
    <w:name w:val="bookreader_tinyicon"/>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title">
    <w:name w:val="chaptertitle"/>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subtitle">
    <w:name w:val="chaptersubtitle"/>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425E"/>
    <w:rPr>
      <w:i/>
      <w:iCs/>
    </w:rPr>
  </w:style>
  <w:style w:type="paragraph" w:customStyle="1" w:styleId="paracontinued">
    <w:name w:val="paracontinued"/>
    <w:basedOn w:val="Normal"/>
    <w:rsid w:val="00EC42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939080">
      <w:bodyDiv w:val="1"/>
      <w:marLeft w:val="0"/>
      <w:marRight w:val="0"/>
      <w:marTop w:val="0"/>
      <w:marBottom w:val="0"/>
      <w:divBdr>
        <w:top w:val="none" w:sz="0" w:space="0" w:color="auto"/>
        <w:left w:val="none" w:sz="0" w:space="0" w:color="auto"/>
        <w:bottom w:val="none" w:sz="0" w:space="0" w:color="auto"/>
        <w:right w:val="none" w:sz="0" w:space="0" w:color="auto"/>
      </w:divBdr>
      <w:divsChild>
        <w:div w:id="1276249658">
          <w:marLeft w:val="0"/>
          <w:marRight w:val="0"/>
          <w:marTop w:val="0"/>
          <w:marBottom w:val="0"/>
          <w:divBdr>
            <w:top w:val="none" w:sz="0" w:space="0" w:color="auto"/>
            <w:left w:val="none" w:sz="0" w:space="0" w:color="auto"/>
            <w:bottom w:val="none" w:sz="0" w:space="0" w:color="auto"/>
            <w:right w:val="single" w:sz="12" w:space="0" w:color="E8E7E2"/>
          </w:divBdr>
        </w:div>
        <w:div w:id="1701668257">
          <w:marLeft w:val="0"/>
          <w:marRight w:val="0"/>
          <w:marTop w:val="0"/>
          <w:marBottom w:val="0"/>
          <w:divBdr>
            <w:top w:val="none" w:sz="0" w:space="0" w:color="auto"/>
            <w:left w:val="single" w:sz="12" w:space="0" w:color="E8E7E2"/>
            <w:bottom w:val="none" w:sz="0" w:space="0" w:color="auto"/>
            <w:right w:val="none" w:sz="0" w:space="0" w:color="auto"/>
          </w:divBdr>
        </w:div>
        <w:div w:id="809060501">
          <w:marLeft w:val="0"/>
          <w:marRight w:val="0"/>
          <w:marTop w:val="0"/>
          <w:marBottom w:val="0"/>
          <w:divBdr>
            <w:top w:val="none" w:sz="0" w:space="0" w:color="auto"/>
            <w:left w:val="none" w:sz="0" w:space="0" w:color="auto"/>
            <w:bottom w:val="none" w:sz="0" w:space="0" w:color="auto"/>
            <w:right w:val="none" w:sz="0" w:space="0" w:color="auto"/>
          </w:divBdr>
          <w:divsChild>
            <w:div w:id="842477789">
              <w:marLeft w:val="0"/>
              <w:marRight w:val="0"/>
              <w:marTop w:val="0"/>
              <w:marBottom w:val="0"/>
              <w:divBdr>
                <w:top w:val="none" w:sz="0" w:space="0" w:color="auto"/>
                <w:left w:val="none" w:sz="0" w:space="0" w:color="auto"/>
                <w:bottom w:val="none" w:sz="0" w:space="0" w:color="auto"/>
                <w:right w:val="none" w:sz="0" w:space="0" w:color="auto"/>
              </w:divBdr>
              <w:divsChild>
                <w:div w:id="182257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13862">
      <w:bodyDiv w:val="1"/>
      <w:marLeft w:val="0"/>
      <w:marRight w:val="0"/>
      <w:marTop w:val="0"/>
      <w:marBottom w:val="0"/>
      <w:divBdr>
        <w:top w:val="none" w:sz="0" w:space="0" w:color="auto"/>
        <w:left w:val="none" w:sz="0" w:space="0" w:color="auto"/>
        <w:bottom w:val="none" w:sz="0" w:space="0" w:color="auto"/>
        <w:right w:val="none" w:sz="0" w:space="0" w:color="auto"/>
      </w:divBdr>
      <w:divsChild>
        <w:div w:id="2099137498">
          <w:marLeft w:val="0"/>
          <w:marRight w:val="0"/>
          <w:marTop w:val="0"/>
          <w:marBottom w:val="0"/>
          <w:divBdr>
            <w:top w:val="none" w:sz="0" w:space="0" w:color="auto"/>
            <w:left w:val="none" w:sz="0" w:space="0" w:color="auto"/>
            <w:bottom w:val="none" w:sz="0" w:space="0" w:color="auto"/>
            <w:right w:val="single" w:sz="12" w:space="0" w:color="E8E7E2"/>
          </w:divBdr>
        </w:div>
        <w:div w:id="2081050130">
          <w:marLeft w:val="0"/>
          <w:marRight w:val="0"/>
          <w:marTop w:val="0"/>
          <w:marBottom w:val="0"/>
          <w:divBdr>
            <w:top w:val="none" w:sz="0" w:space="0" w:color="auto"/>
            <w:left w:val="single" w:sz="12" w:space="0" w:color="E8E7E2"/>
            <w:bottom w:val="none" w:sz="0" w:space="0" w:color="auto"/>
            <w:right w:val="none" w:sz="0" w:space="0" w:color="auto"/>
          </w:divBdr>
        </w:div>
        <w:div w:id="30418545">
          <w:marLeft w:val="0"/>
          <w:marRight w:val="0"/>
          <w:marTop w:val="0"/>
          <w:marBottom w:val="0"/>
          <w:divBdr>
            <w:top w:val="none" w:sz="0" w:space="0" w:color="auto"/>
            <w:left w:val="none" w:sz="0" w:space="0" w:color="auto"/>
            <w:bottom w:val="none" w:sz="0" w:space="0" w:color="auto"/>
            <w:right w:val="none" w:sz="0" w:space="0" w:color="auto"/>
          </w:divBdr>
          <w:divsChild>
            <w:div w:id="822358747">
              <w:marLeft w:val="0"/>
              <w:marRight w:val="0"/>
              <w:marTop w:val="0"/>
              <w:marBottom w:val="0"/>
              <w:divBdr>
                <w:top w:val="none" w:sz="0" w:space="0" w:color="auto"/>
                <w:left w:val="none" w:sz="0" w:space="0" w:color="auto"/>
                <w:bottom w:val="none" w:sz="0" w:space="0" w:color="auto"/>
                <w:right w:val="none" w:sz="0" w:space="0" w:color="auto"/>
              </w:divBdr>
              <w:divsChild>
                <w:div w:id="4437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21122">
          <w:marLeft w:val="0"/>
          <w:marRight w:val="0"/>
          <w:marTop w:val="0"/>
          <w:marBottom w:val="0"/>
          <w:divBdr>
            <w:top w:val="none" w:sz="0" w:space="0" w:color="auto"/>
            <w:left w:val="none" w:sz="0" w:space="0" w:color="auto"/>
            <w:bottom w:val="none" w:sz="0" w:space="0" w:color="auto"/>
            <w:right w:val="none" w:sz="0" w:space="0" w:color="auto"/>
          </w:divBdr>
        </w:div>
      </w:divsChild>
    </w:div>
    <w:div w:id="1266841886">
      <w:bodyDiv w:val="1"/>
      <w:marLeft w:val="0"/>
      <w:marRight w:val="0"/>
      <w:marTop w:val="0"/>
      <w:marBottom w:val="0"/>
      <w:divBdr>
        <w:top w:val="none" w:sz="0" w:space="0" w:color="auto"/>
        <w:left w:val="none" w:sz="0" w:space="0" w:color="auto"/>
        <w:bottom w:val="none" w:sz="0" w:space="0" w:color="auto"/>
        <w:right w:val="none" w:sz="0" w:space="0" w:color="auto"/>
      </w:divBdr>
      <w:divsChild>
        <w:div w:id="1202593730">
          <w:marLeft w:val="0"/>
          <w:marRight w:val="0"/>
          <w:marTop w:val="0"/>
          <w:marBottom w:val="0"/>
          <w:divBdr>
            <w:top w:val="none" w:sz="0" w:space="0" w:color="auto"/>
            <w:left w:val="none" w:sz="0" w:space="0" w:color="auto"/>
            <w:bottom w:val="none" w:sz="0" w:space="0" w:color="auto"/>
            <w:right w:val="single" w:sz="12" w:space="0" w:color="E8E7E2"/>
          </w:divBdr>
        </w:div>
        <w:div w:id="1520317827">
          <w:marLeft w:val="0"/>
          <w:marRight w:val="0"/>
          <w:marTop w:val="0"/>
          <w:marBottom w:val="0"/>
          <w:divBdr>
            <w:top w:val="none" w:sz="0" w:space="0" w:color="auto"/>
            <w:left w:val="single" w:sz="12" w:space="0" w:color="E8E7E2"/>
            <w:bottom w:val="none" w:sz="0" w:space="0" w:color="auto"/>
            <w:right w:val="none" w:sz="0" w:space="0" w:color="auto"/>
          </w:divBdr>
        </w:div>
        <w:div w:id="790057431">
          <w:marLeft w:val="0"/>
          <w:marRight w:val="0"/>
          <w:marTop w:val="0"/>
          <w:marBottom w:val="0"/>
          <w:divBdr>
            <w:top w:val="none" w:sz="0" w:space="0" w:color="auto"/>
            <w:left w:val="none" w:sz="0" w:space="0" w:color="auto"/>
            <w:bottom w:val="none" w:sz="0" w:space="0" w:color="auto"/>
            <w:right w:val="none" w:sz="0" w:space="0" w:color="auto"/>
          </w:divBdr>
          <w:divsChild>
            <w:div w:id="176506946">
              <w:marLeft w:val="0"/>
              <w:marRight w:val="0"/>
              <w:marTop w:val="0"/>
              <w:marBottom w:val="0"/>
              <w:divBdr>
                <w:top w:val="none" w:sz="0" w:space="0" w:color="auto"/>
                <w:left w:val="none" w:sz="0" w:space="0" w:color="auto"/>
                <w:bottom w:val="none" w:sz="0" w:space="0" w:color="auto"/>
                <w:right w:val="none" w:sz="0" w:space="0" w:color="auto"/>
              </w:divBdr>
              <w:divsChild>
                <w:div w:id="1987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932930">
      <w:bodyDiv w:val="1"/>
      <w:marLeft w:val="0"/>
      <w:marRight w:val="0"/>
      <w:marTop w:val="0"/>
      <w:marBottom w:val="0"/>
      <w:divBdr>
        <w:top w:val="none" w:sz="0" w:space="0" w:color="auto"/>
        <w:left w:val="none" w:sz="0" w:space="0" w:color="auto"/>
        <w:bottom w:val="none" w:sz="0" w:space="0" w:color="auto"/>
        <w:right w:val="none" w:sz="0" w:space="0" w:color="auto"/>
      </w:divBdr>
      <w:divsChild>
        <w:div w:id="29889052">
          <w:marLeft w:val="0"/>
          <w:marRight w:val="0"/>
          <w:marTop w:val="0"/>
          <w:marBottom w:val="0"/>
          <w:divBdr>
            <w:top w:val="none" w:sz="0" w:space="0" w:color="auto"/>
            <w:left w:val="none" w:sz="0" w:space="0" w:color="auto"/>
            <w:bottom w:val="none" w:sz="0" w:space="0" w:color="auto"/>
            <w:right w:val="single" w:sz="12" w:space="0" w:color="E8E7E2"/>
          </w:divBdr>
        </w:div>
        <w:div w:id="1156069327">
          <w:marLeft w:val="0"/>
          <w:marRight w:val="0"/>
          <w:marTop w:val="0"/>
          <w:marBottom w:val="0"/>
          <w:divBdr>
            <w:top w:val="none" w:sz="0" w:space="0" w:color="auto"/>
            <w:left w:val="single" w:sz="12" w:space="0" w:color="E8E7E2"/>
            <w:bottom w:val="none" w:sz="0" w:space="0" w:color="auto"/>
            <w:right w:val="none" w:sz="0" w:space="0" w:color="auto"/>
          </w:divBdr>
        </w:div>
        <w:div w:id="685865789">
          <w:marLeft w:val="0"/>
          <w:marRight w:val="0"/>
          <w:marTop w:val="0"/>
          <w:marBottom w:val="0"/>
          <w:divBdr>
            <w:top w:val="none" w:sz="0" w:space="0" w:color="auto"/>
            <w:left w:val="none" w:sz="0" w:space="0" w:color="auto"/>
            <w:bottom w:val="none" w:sz="0" w:space="0" w:color="auto"/>
            <w:right w:val="none" w:sz="0" w:space="0" w:color="auto"/>
          </w:divBdr>
          <w:divsChild>
            <w:div w:id="763576586">
              <w:marLeft w:val="0"/>
              <w:marRight w:val="0"/>
              <w:marTop w:val="0"/>
              <w:marBottom w:val="0"/>
              <w:divBdr>
                <w:top w:val="none" w:sz="0" w:space="0" w:color="auto"/>
                <w:left w:val="none" w:sz="0" w:space="0" w:color="auto"/>
                <w:bottom w:val="none" w:sz="0" w:space="0" w:color="auto"/>
                <w:right w:val="none" w:sz="0" w:space="0" w:color="auto"/>
              </w:divBdr>
              <w:divsChild>
                <w:div w:id="70085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066710">
      <w:bodyDiv w:val="1"/>
      <w:marLeft w:val="0"/>
      <w:marRight w:val="0"/>
      <w:marTop w:val="0"/>
      <w:marBottom w:val="0"/>
      <w:divBdr>
        <w:top w:val="none" w:sz="0" w:space="0" w:color="auto"/>
        <w:left w:val="none" w:sz="0" w:space="0" w:color="auto"/>
        <w:bottom w:val="none" w:sz="0" w:space="0" w:color="auto"/>
        <w:right w:val="none" w:sz="0" w:space="0" w:color="auto"/>
      </w:divBdr>
      <w:divsChild>
        <w:div w:id="422382778">
          <w:marLeft w:val="0"/>
          <w:marRight w:val="0"/>
          <w:marTop w:val="0"/>
          <w:marBottom w:val="0"/>
          <w:divBdr>
            <w:top w:val="none" w:sz="0" w:space="0" w:color="auto"/>
            <w:left w:val="none" w:sz="0" w:space="0" w:color="auto"/>
            <w:bottom w:val="none" w:sz="0" w:space="0" w:color="auto"/>
            <w:right w:val="single" w:sz="12" w:space="0" w:color="E8E7E2"/>
          </w:divBdr>
        </w:div>
        <w:div w:id="1253466302">
          <w:marLeft w:val="0"/>
          <w:marRight w:val="0"/>
          <w:marTop w:val="0"/>
          <w:marBottom w:val="0"/>
          <w:divBdr>
            <w:top w:val="none" w:sz="0" w:space="0" w:color="auto"/>
            <w:left w:val="single" w:sz="12" w:space="0" w:color="E8E7E2"/>
            <w:bottom w:val="none" w:sz="0" w:space="0" w:color="auto"/>
            <w:right w:val="none" w:sz="0" w:space="0" w:color="auto"/>
          </w:divBdr>
        </w:div>
        <w:div w:id="540477871">
          <w:marLeft w:val="0"/>
          <w:marRight w:val="0"/>
          <w:marTop w:val="0"/>
          <w:marBottom w:val="0"/>
          <w:divBdr>
            <w:top w:val="none" w:sz="0" w:space="0" w:color="auto"/>
            <w:left w:val="none" w:sz="0" w:space="0" w:color="auto"/>
            <w:bottom w:val="none" w:sz="0" w:space="0" w:color="auto"/>
            <w:right w:val="none" w:sz="0" w:space="0" w:color="auto"/>
          </w:divBdr>
          <w:divsChild>
            <w:div w:id="473329989">
              <w:marLeft w:val="0"/>
              <w:marRight w:val="0"/>
              <w:marTop w:val="0"/>
              <w:marBottom w:val="0"/>
              <w:divBdr>
                <w:top w:val="none" w:sz="0" w:space="0" w:color="auto"/>
                <w:left w:val="none" w:sz="0" w:space="0" w:color="auto"/>
                <w:bottom w:val="none" w:sz="0" w:space="0" w:color="auto"/>
                <w:right w:val="none" w:sz="0" w:space="0" w:color="auto"/>
              </w:divBdr>
              <w:divsChild>
                <w:div w:id="26130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89899">
      <w:bodyDiv w:val="1"/>
      <w:marLeft w:val="0"/>
      <w:marRight w:val="0"/>
      <w:marTop w:val="0"/>
      <w:marBottom w:val="0"/>
      <w:divBdr>
        <w:top w:val="none" w:sz="0" w:space="0" w:color="auto"/>
        <w:left w:val="none" w:sz="0" w:space="0" w:color="auto"/>
        <w:bottom w:val="none" w:sz="0" w:space="0" w:color="auto"/>
        <w:right w:val="none" w:sz="0" w:space="0" w:color="auto"/>
      </w:divBdr>
    </w:div>
    <w:div w:id="1819104193">
      <w:bodyDiv w:val="1"/>
      <w:marLeft w:val="0"/>
      <w:marRight w:val="0"/>
      <w:marTop w:val="0"/>
      <w:marBottom w:val="0"/>
      <w:divBdr>
        <w:top w:val="none" w:sz="0" w:space="0" w:color="auto"/>
        <w:left w:val="none" w:sz="0" w:space="0" w:color="auto"/>
        <w:bottom w:val="none" w:sz="0" w:space="0" w:color="auto"/>
        <w:right w:val="none" w:sz="0" w:space="0" w:color="auto"/>
      </w:divBdr>
      <w:divsChild>
        <w:div w:id="1740640236">
          <w:marLeft w:val="0"/>
          <w:marRight w:val="0"/>
          <w:marTop w:val="0"/>
          <w:marBottom w:val="0"/>
          <w:divBdr>
            <w:top w:val="none" w:sz="0" w:space="0" w:color="auto"/>
            <w:left w:val="none" w:sz="0" w:space="0" w:color="auto"/>
            <w:bottom w:val="none" w:sz="0" w:space="0" w:color="auto"/>
            <w:right w:val="single" w:sz="12" w:space="0" w:color="E8E7E2"/>
          </w:divBdr>
        </w:div>
        <w:div w:id="1264264690">
          <w:marLeft w:val="0"/>
          <w:marRight w:val="0"/>
          <w:marTop w:val="0"/>
          <w:marBottom w:val="0"/>
          <w:divBdr>
            <w:top w:val="none" w:sz="0" w:space="0" w:color="auto"/>
            <w:left w:val="single" w:sz="12" w:space="0" w:color="E8E7E2"/>
            <w:bottom w:val="none" w:sz="0" w:space="0" w:color="auto"/>
            <w:right w:val="none" w:sz="0" w:space="0" w:color="auto"/>
          </w:divBdr>
        </w:div>
        <w:div w:id="306446661">
          <w:marLeft w:val="0"/>
          <w:marRight w:val="0"/>
          <w:marTop w:val="0"/>
          <w:marBottom w:val="0"/>
          <w:divBdr>
            <w:top w:val="none" w:sz="0" w:space="0" w:color="auto"/>
            <w:left w:val="none" w:sz="0" w:space="0" w:color="auto"/>
            <w:bottom w:val="none" w:sz="0" w:space="0" w:color="auto"/>
            <w:right w:val="none" w:sz="0" w:space="0" w:color="auto"/>
          </w:divBdr>
          <w:divsChild>
            <w:div w:id="996761887">
              <w:marLeft w:val="0"/>
              <w:marRight w:val="0"/>
              <w:marTop w:val="0"/>
              <w:marBottom w:val="0"/>
              <w:divBdr>
                <w:top w:val="none" w:sz="0" w:space="0" w:color="auto"/>
                <w:left w:val="none" w:sz="0" w:space="0" w:color="auto"/>
                <w:bottom w:val="none" w:sz="0" w:space="0" w:color="auto"/>
                <w:right w:val="none" w:sz="0" w:space="0" w:color="auto"/>
              </w:divBdr>
              <w:divsChild>
                <w:div w:id="11734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90828">
      <w:bodyDiv w:val="1"/>
      <w:marLeft w:val="0"/>
      <w:marRight w:val="0"/>
      <w:marTop w:val="0"/>
      <w:marBottom w:val="0"/>
      <w:divBdr>
        <w:top w:val="none" w:sz="0" w:space="0" w:color="auto"/>
        <w:left w:val="none" w:sz="0" w:space="0" w:color="auto"/>
        <w:bottom w:val="none" w:sz="0" w:space="0" w:color="auto"/>
        <w:right w:val="none" w:sz="0" w:space="0" w:color="auto"/>
      </w:divBdr>
      <w:divsChild>
        <w:div w:id="39088990">
          <w:marLeft w:val="0"/>
          <w:marRight w:val="0"/>
          <w:marTop w:val="0"/>
          <w:marBottom w:val="0"/>
          <w:divBdr>
            <w:top w:val="none" w:sz="0" w:space="0" w:color="auto"/>
            <w:left w:val="none" w:sz="0" w:space="0" w:color="auto"/>
            <w:bottom w:val="none" w:sz="0" w:space="0" w:color="auto"/>
            <w:right w:val="single" w:sz="12" w:space="0" w:color="E8E7E2"/>
          </w:divBdr>
        </w:div>
        <w:div w:id="1988974740">
          <w:marLeft w:val="0"/>
          <w:marRight w:val="0"/>
          <w:marTop w:val="0"/>
          <w:marBottom w:val="0"/>
          <w:divBdr>
            <w:top w:val="none" w:sz="0" w:space="0" w:color="auto"/>
            <w:left w:val="single" w:sz="12" w:space="0" w:color="E8E7E2"/>
            <w:bottom w:val="none" w:sz="0" w:space="0" w:color="auto"/>
            <w:right w:val="none" w:sz="0" w:space="0" w:color="auto"/>
          </w:divBdr>
        </w:div>
        <w:div w:id="834417674">
          <w:marLeft w:val="0"/>
          <w:marRight w:val="0"/>
          <w:marTop w:val="0"/>
          <w:marBottom w:val="0"/>
          <w:divBdr>
            <w:top w:val="none" w:sz="0" w:space="0" w:color="auto"/>
            <w:left w:val="none" w:sz="0" w:space="0" w:color="auto"/>
            <w:bottom w:val="none" w:sz="0" w:space="0" w:color="auto"/>
            <w:right w:val="none" w:sz="0" w:space="0" w:color="auto"/>
          </w:divBdr>
          <w:divsChild>
            <w:div w:id="1842575139">
              <w:marLeft w:val="0"/>
              <w:marRight w:val="0"/>
              <w:marTop w:val="0"/>
              <w:marBottom w:val="0"/>
              <w:divBdr>
                <w:top w:val="none" w:sz="0" w:space="0" w:color="auto"/>
                <w:left w:val="none" w:sz="0" w:space="0" w:color="auto"/>
                <w:bottom w:val="none" w:sz="0" w:space="0" w:color="auto"/>
                <w:right w:val="none" w:sz="0" w:space="0" w:color="auto"/>
              </w:divBdr>
              <w:divsChild>
                <w:div w:id="150242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ntent.ashford.edu/books/Wiesner.8792.17.1/sections/navpoint-14" TargetMode="External"/><Relationship Id="rId18" Type="http://schemas.openxmlformats.org/officeDocument/2006/relationships/hyperlink" Target="https://content.ashford.edu/print/Wiesner.8792.17.1?sections=navpoint-15&amp;content=all" TargetMode="External"/><Relationship Id="rId26" Type="http://schemas.openxmlformats.org/officeDocument/2006/relationships/hyperlink" Target="https://content.ashford.edu/books/Wiesner.8792.17.1/sections/navpoint-16" TargetMode="External"/><Relationship Id="rId39" Type="http://schemas.openxmlformats.org/officeDocument/2006/relationships/hyperlink" Target="https://content.ashford.edu/books/Wiesner.8792.17.1/sections/navpoint-17" TargetMode="External"/><Relationship Id="rId21" Type="http://schemas.openxmlformats.org/officeDocument/2006/relationships/hyperlink" Target="https://content.ashford.edu/books/Wiesner.8792.17.1/sections/navpoint-15" TargetMode="External"/><Relationship Id="rId34" Type="http://schemas.openxmlformats.org/officeDocument/2006/relationships/hyperlink" Target="https://content.ashford.edu/books/Wiesner.8792.17.1/sections/navpoint-16" TargetMode="External"/><Relationship Id="rId42" Type="http://schemas.openxmlformats.org/officeDocument/2006/relationships/hyperlink" Target="https://content.ashford.edu/books/Wiesner.8792.17.1/sections/navpoint-16" TargetMode="External"/><Relationship Id="rId47" Type="http://schemas.openxmlformats.org/officeDocument/2006/relationships/hyperlink" Target="https://content.ashford.edu/books/Wiesner.8792.17.1/sections/navpoint-18" TargetMode="External"/><Relationship Id="rId50" Type="http://schemas.openxmlformats.org/officeDocument/2006/relationships/hyperlink" Target="https://content.ashford.edu/books/Wiesner.8792.17.1/sections/navpoint-18" TargetMode="External"/><Relationship Id="rId55" Type="http://schemas.openxmlformats.org/officeDocument/2006/relationships/hyperlink" Target="https://content.ashford.edu/Bookshelf" TargetMode="External"/><Relationship Id="rId63" Type="http://schemas.openxmlformats.org/officeDocument/2006/relationships/hyperlink" Target="https://content.ashford.edu/books/Wiesner.8792.17.1/sections/navpoint-20" TargetMode="External"/><Relationship Id="rId68" Type="http://schemas.openxmlformats.org/officeDocument/2006/relationships/hyperlink" Target="https://content.ashford.edu/print/Wiesner.8792.17.1?sections=navpoint-20&amp;content=all" TargetMode="External"/><Relationship Id="rId76" Type="http://schemas.openxmlformats.org/officeDocument/2006/relationships/fontTable" Target="fontTable.xml"/><Relationship Id="rId7" Type="http://schemas.openxmlformats.org/officeDocument/2006/relationships/hyperlink" Target="https://content.ashford.edu/books/Wiesner.8792.17.1/sections/navpoint-13" TargetMode="External"/><Relationship Id="rId71" Type="http://schemas.openxmlformats.org/officeDocument/2006/relationships/hyperlink" Target="https://content.ashford.edu/books/Wiesner.8792.17.1/sections/navpoint-20" TargetMode="External"/><Relationship Id="rId2" Type="http://schemas.openxmlformats.org/officeDocument/2006/relationships/styles" Target="styles.xml"/><Relationship Id="rId16" Type="http://schemas.openxmlformats.org/officeDocument/2006/relationships/hyperlink" Target="https://content.ashford.edu/books/Wiesner.8792.17.1/sections/navpoint-15" TargetMode="External"/><Relationship Id="rId29" Type="http://schemas.openxmlformats.org/officeDocument/2006/relationships/hyperlink" Target="https://content.ashford.edu/books/Wiesner.8792.17.1/sections/navpoint-16" TargetMode="External"/><Relationship Id="rId11" Type="http://schemas.openxmlformats.org/officeDocument/2006/relationships/hyperlink" Target="https://content.ashford.edu/books/Wiesner.8792.17.1/sections/navpoint-13" TargetMode="External"/><Relationship Id="rId24" Type="http://schemas.openxmlformats.org/officeDocument/2006/relationships/hyperlink" Target="https://content.ashford.edu/books/Wiesner.8792.17.1/sections/navpoint-15" TargetMode="External"/><Relationship Id="rId32" Type="http://schemas.openxmlformats.org/officeDocument/2006/relationships/hyperlink" Target="https://content.ashford.edu/books/Wiesner.8792.17.1/sections/navpoint-15" TargetMode="External"/><Relationship Id="rId37" Type="http://schemas.openxmlformats.org/officeDocument/2006/relationships/hyperlink" Target="https://content.ashford.edu/books/Wiesner.8792.17.1/sections/navpoint-17" TargetMode="External"/><Relationship Id="rId40" Type="http://schemas.openxmlformats.org/officeDocument/2006/relationships/hyperlink" Target="https://content.ashford.edu/books/Wiesner.8792.17.1/sections/navpoint-17" TargetMode="External"/><Relationship Id="rId45" Type="http://schemas.openxmlformats.org/officeDocument/2006/relationships/hyperlink" Target="https://content.ashford.edu/Bookshelf" TargetMode="External"/><Relationship Id="rId53" Type="http://schemas.openxmlformats.org/officeDocument/2006/relationships/hyperlink" Target="https://content.ashford.edu/books/Wiesner.8792.17.1/sections/navpoint-19" TargetMode="External"/><Relationship Id="rId58" Type="http://schemas.openxmlformats.org/officeDocument/2006/relationships/hyperlink" Target="https://content.ashford.edu/print/Wiesner.8792.17.1?sections=navpoint-19&amp;content=all" TargetMode="External"/><Relationship Id="rId66" Type="http://schemas.openxmlformats.org/officeDocument/2006/relationships/hyperlink" Target="https://content.ashford.edu/books/Wiesner.8792.17.1/sections/navpoint-20" TargetMode="External"/><Relationship Id="rId74" Type="http://schemas.openxmlformats.org/officeDocument/2006/relationships/hyperlink" Target="http://www.wiley.com/go/wiesnerhanks" TargetMode="External"/><Relationship Id="rId5" Type="http://schemas.openxmlformats.org/officeDocument/2006/relationships/hyperlink" Target="https://content.ashford.edu/Bookshelf" TargetMode="External"/><Relationship Id="rId15" Type="http://schemas.openxmlformats.org/officeDocument/2006/relationships/hyperlink" Target="https://content.ashford.edu/Bookshelf" TargetMode="External"/><Relationship Id="rId23" Type="http://schemas.openxmlformats.org/officeDocument/2006/relationships/hyperlink" Target="https://content.ashford.edu/books/Wiesner.8792.17.1/sections/navpoint-16" TargetMode="External"/><Relationship Id="rId28" Type="http://schemas.openxmlformats.org/officeDocument/2006/relationships/hyperlink" Target="https://content.ashford.edu/print/Wiesner.8792.17.1?sections=navpoint-16&amp;content=all" TargetMode="External"/><Relationship Id="rId36" Type="http://schemas.openxmlformats.org/officeDocument/2006/relationships/hyperlink" Target="https://content.ashford.edu/books/Wiesner.8792.17.1/sections/navpoint-17" TargetMode="External"/><Relationship Id="rId49" Type="http://schemas.openxmlformats.org/officeDocument/2006/relationships/hyperlink" Target="https://content.ashford.edu/books/Wiesner.8792.17.1/sections/navpoint-18" TargetMode="External"/><Relationship Id="rId57" Type="http://schemas.openxmlformats.org/officeDocument/2006/relationships/hyperlink" Target="https://content.ashford.edu/books/Wiesner.8792.17.1/sections/navpoint-19" TargetMode="External"/><Relationship Id="rId61" Type="http://schemas.openxmlformats.org/officeDocument/2006/relationships/hyperlink" Target="https://content.ashford.edu/books/Wiesner.8792.17.1/sections/navpoint-19" TargetMode="External"/><Relationship Id="rId10" Type="http://schemas.openxmlformats.org/officeDocument/2006/relationships/hyperlink" Target="https://content.ashford.edu/books/Wiesner.8792.17.1/sections/navpoint-13" TargetMode="External"/><Relationship Id="rId19" Type="http://schemas.openxmlformats.org/officeDocument/2006/relationships/hyperlink" Target="https://content.ashford.edu/books/Wiesner.8792.17.1/sections/navpoint-15" TargetMode="External"/><Relationship Id="rId31" Type="http://schemas.openxmlformats.org/officeDocument/2006/relationships/hyperlink" Target="https://content.ashford.edu/books/Wiesner.8792.17.1/sections/navpoint-16" TargetMode="External"/><Relationship Id="rId44" Type="http://schemas.openxmlformats.org/officeDocument/2006/relationships/hyperlink" Target="https://content.ashford.edu/books/Wiesner.8792.17.1/sections/navpoint-17" TargetMode="External"/><Relationship Id="rId52" Type="http://schemas.openxmlformats.org/officeDocument/2006/relationships/hyperlink" Target="https://content.ashford.edu/books/Wiesner.8792.17.1/sections/navpoint-17" TargetMode="External"/><Relationship Id="rId60" Type="http://schemas.openxmlformats.org/officeDocument/2006/relationships/hyperlink" Target="https://content.ashford.edu/books/Wiesner.8792.17.1/sections/navpoint-19" TargetMode="External"/><Relationship Id="rId65" Type="http://schemas.openxmlformats.org/officeDocument/2006/relationships/hyperlink" Target="https://content.ashford.edu/Bookshelf" TargetMode="External"/><Relationship Id="rId73" Type="http://schemas.openxmlformats.org/officeDocument/2006/relationships/hyperlink" Target="https://content.ashford.edu/books/Wiesner.8792.17.1/sections/navpoint-21" TargetMode="External"/><Relationship Id="rId4" Type="http://schemas.openxmlformats.org/officeDocument/2006/relationships/webSettings" Target="webSettings.xml"/><Relationship Id="rId9" Type="http://schemas.openxmlformats.org/officeDocument/2006/relationships/hyperlink" Target="https://content.ashford.edu/books/Wiesner.8792.17.1/sections/navpoint-13" TargetMode="External"/><Relationship Id="rId14" Type="http://schemas.openxmlformats.org/officeDocument/2006/relationships/hyperlink" Target="https://content.ashford.edu/books/Wiesner.8792.17.1/sections/navpoint-13" TargetMode="External"/><Relationship Id="rId22" Type="http://schemas.openxmlformats.org/officeDocument/2006/relationships/hyperlink" Target="https://content.ashford.edu/books/Wiesner.8792.17.1/sections/navpoint-14" TargetMode="External"/><Relationship Id="rId27" Type="http://schemas.openxmlformats.org/officeDocument/2006/relationships/hyperlink" Target="https://content.ashford.edu/books/Wiesner.8792.17.1/sections/navpoint-16" TargetMode="External"/><Relationship Id="rId30" Type="http://schemas.openxmlformats.org/officeDocument/2006/relationships/hyperlink" Target="https://content.ashford.edu/books/Wiesner.8792.17.1/sections/navpoint-16" TargetMode="External"/><Relationship Id="rId35" Type="http://schemas.openxmlformats.org/officeDocument/2006/relationships/hyperlink" Target="https://content.ashford.edu/Bookshelf" TargetMode="External"/><Relationship Id="rId43" Type="http://schemas.openxmlformats.org/officeDocument/2006/relationships/hyperlink" Target="https://content.ashford.edu/books/Wiesner.8792.17.1/sections/navpoint-18" TargetMode="External"/><Relationship Id="rId48" Type="http://schemas.openxmlformats.org/officeDocument/2006/relationships/hyperlink" Target="https://content.ashford.edu/print/Wiesner.8792.17.1?sections=navpoint-18&amp;content=all" TargetMode="External"/><Relationship Id="rId56" Type="http://schemas.openxmlformats.org/officeDocument/2006/relationships/hyperlink" Target="https://content.ashford.edu/books/Wiesner.8792.17.1/sections/navpoint-19" TargetMode="External"/><Relationship Id="rId64" Type="http://schemas.openxmlformats.org/officeDocument/2006/relationships/hyperlink" Target="https://content.ashford.edu/books/Wiesner.8792.17.1/sections/navpoint-19" TargetMode="External"/><Relationship Id="rId69" Type="http://schemas.openxmlformats.org/officeDocument/2006/relationships/hyperlink" Target="https://content.ashford.edu/books/Wiesner.8792.17.1/sections/navpoint-20" TargetMode="External"/><Relationship Id="rId77" Type="http://schemas.openxmlformats.org/officeDocument/2006/relationships/theme" Target="theme/theme1.xml"/><Relationship Id="rId8" Type="http://schemas.openxmlformats.org/officeDocument/2006/relationships/hyperlink" Target="https://content.ashford.edu/print/Wiesner.8792.17.1?sections=navpoint-13&amp;content=all" TargetMode="External"/><Relationship Id="rId51" Type="http://schemas.openxmlformats.org/officeDocument/2006/relationships/hyperlink" Target="https://content.ashford.edu/books/Wiesner.8792.17.1/sections/navpoint-18" TargetMode="External"/><Relationship Id="rId72" Type="http://schemas.openxmlformats.org/officeDocument/2006/relationships/hyperlink" Target="https://content.ashford.edu/books/Wiesner.8792.17.1/sections/navpoint-19" TargetMode="External"/><Relationship Id="rId3" Type="http://schemas.openxmlformats.org/officeDocument/2006/relationships/settings" Target="settings.xml"/><Relationship Id="rId12" Type="http://schemas.openxmlformats.org/officeDocument/2006/relationships/hyperlink" Target="https://content.ashford.edu/books/Wiesner.8792.17.1/sections/navpoint-12" TargetMode="External"/><Relationship Id="rId17" Type="http://schemas.openxmlformats.org/officeDocument/2006/relationships/hyperlink" Target="https://content.ashford.edu/books/Wiesner.8792.17.1/sections/navpoint-15" TargetMode="External"/><Relationship Id="rId25" Type="http://schemas.openxmlformats.org/officeDocument/2006/relationships/hyperlink" Target="https://content.ashford.edu/Bookshelf" TargetMode="External"/><Relationship Id="rId33" Type="http://schemas.openxmlformats.org/officeDocument/2006/relationships/hyperlink" Target="https://content.ashford.edu/books/Wiesner.8792.17.1/sections/navpoint-17" TargetMode="External"/><Relationship Id="rId38" Type="http://schemas.openxmlformats.org/officeDocument/2006/relationships/hyperlink" Target="https://content.ashford.edu/print/Wiesner.8792.17.1?sections=navpoint-17&amp;content=all" TargetMode="External"/><Relationship Id="rId46" Type="http://schemas.openxmlformats.org/officeDocument/2006/relationships/hyperlink" Target="https://content.ashford.edu/books/Wiesner.8792.17.1/sections/navpoint-18" TargetMode="External"/><Relationship Id="rId59" Type="http://schemas.openxmlformats.org/officeDocument/2006/relationships/hyperlink" Target="https://content.ashford.edu/books/Wiesner.8792.17.1/sections/navpoint-19" TargetMode="External"/><Relationship Id="rId67" Type="http://schemas.openxmlformats.org/officeDocument/2006/relationships/hyperlink" Target="https://content.ashford.edu/books/Wiesner.8792.17.1/sections/navpoint-20" TargetMode="External"/><Relationship Id="rId20" Type="http://schemas.openxmlformats.org/officeDocument/2006/relationships/hyperlink" Target="https://content.ashford.edu/books/Wiesner.8792.17.1/sections/navpoint-15" TargetMode="External"/><Relationship Id="rId41" Type="http://schemas.openxmlformats.org/officeDocument/2006/relationships/hyperlink" Target="https://content.ashford.edu/books/Wiesner.8792.17.1/sections/navpoint-17" TargetMode="External"/><Relationship Id="rId54" Type="http://schemas.openxmlformats.org/officeDocument/2006/relationships/hyperlink" Target="https://content.ashford.edu/books/Wiesner.8792.17.1/sections/navpoint-18" TargetMode="External"/><Relationship Id="rId62" Type="http://schemas.openxmlformats.org/officeDocument/2006/relationships/hyperlink" Target="https://content.ashford.edu/books/Wiesner.8792.17.1/sections/navpoint-18" TargetMode="External"/><Relationship Id="rId70" Type="http://schemas.openxmlformats.org/officeDocument/2006/relationships/hyperlink" Target="https://content.ashford.edu/books/Wiesner.8792.17.1/sections/navpoint-20" TargetMode="External"/><Relationship Id="rId75" Type="http://schemas.openxmlformats.org/officeDocument/2006/relationships/hyperlink" Target="https://content.ashford.edu/books/Wiesner.8792.17.1/sections/navpoint-20" TargetMode="External"/><Relationship Id="rId1" Type="http://schemas.openxmlformats.org/officeDocument/2006/relationships/numbering" Target="numbering.xml"/><Relationship Id="rId6" Type="http://schemas.openxmlformats.org/officeDocument/2006/relationships/hyperlink" Target="https://content.ashford.edu/books/Wiesner.8792.17.1/sections/navpoint-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27</Pages>
  <Words>14150</Words>
  <Characters>80659</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2018-07-07T18:05:00Z</dcterms:created>
  <dcterms:modified xsi:type="dcterms:W3CDTF">2018-07-07T18:10:00Z</dcterms:modified>
</cp:coreProperties>
</file>